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color w:val="000000"/>
          <w:sz w:val="24"/>
        </w:rPr>
        <w:t>March 13, 2026</w:t>
      </w:r>
      <w:r>
        <w:rPr>
          <w:color w:val="000000"/>
        </w:rPr>
        <w:t xml:space="preserve">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before="0" w:after="0"/>
        <w:jc w:val="center"/>
        <w:rPr/>
      </w:pPr>
      <w:r>
        <w:rPr/>
      </w:r>
    </w:p>
    <w:p>
      <w:pPr>
        <w:pStyle w:val="TextBody"/>
        <w:bidi w:val="0"/>
        <w:spacing w:lineRule="auto" w:line="288" w:before="0" w:after="0"/>
        <w:ind w:left="0" w:right="0" w:firstLine="270"/>
        <w:jc w:val="center"/>
        <w:rPr>
          <w:rFonts w:ascii="Times New Roman;serif" w:hAnsi="Times New Roman;serif"/>
          <w:b/>
          <w:color w:val="000000"/>
          <w:sz w:val="48"/>
        </w:rPr>
      </w:pPr>
      <w:r>
        <w:rPr>
          <w:rFonts w:ascii="Times New Roman;serif" w:hAnsi="Times New Roman;serif"/>
          <w:b/>
          <w:color w:val="000000"/>
          <w:sz w:val="48"/>
        </w:rPr>
        <w:t xml:space="preserve">UNIVERSAL ELECTRONICS INC. </w:t>
      </w:r>
    </w:p>
    <w:p>
      <w:pPr>
        <w:pStyle w:val="TextBody"/>
        <w:bidi w:val="0"/>
        <w:spacing w:lineRule="auto" w:line="288" w:before="0" w:after="0"/>
        <w:ind w:left="0" w:right="0" w:firstLine="27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27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before="0" w:after="0"/>
        <w:ind w:left="0" w:right="0" w:firstLine="270"/>
        <w:jc w:val="center"/>
        <w:rPr/>
      </w:pPr>
      <w:r>
        <w:rPr/>
      </w:r>
    </w:p>
    <w:tbl>
      <w:tblPr>
        <w:tblW w:w="5264" w:type="dxa"/>
        <w:jc w:val="center"/>
        <w:tblInd w:w="0" w:type="dxa"/>
        <w:tblLayout w:type="fixed"/>
        <w:tblCellMar>
          <w:top w:w="28" w:type="dxa"/>
          <w:left w:w="28" w:type="dxa"/>
          <w:bottom w:w="28" w:type="dxa"/>
          <w:right w:w="28" w:type="dxa"/>
        </w:tblCellMar>
      </w:tblPr>
      <w:tblGrid>
        <w:gridCol w:w="750"/>
        <w:gridCol w:w="659"/>
        <w:gridCol w:w="661"/>
        <w:gridCol w:w="568"/>
        <w:gridCol w:w="568"/>
        <w:gridCol w:w="574"/>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45"/>
              <w:jc w:val="center"/>
              <w:rPr>
                <w:rFonts w:ascii="Times New Roman;serif" w:hAnsi="Times New Roman;serif"/>
                <w:b/>
                <w:color w:val="000000"/>
                <w:sz w:val="20"/>
              </w:rPr>
            </w:pPr>
            <w:r>
              <w:rPr>
                <w:rFonts w:ascii="Times New Roman;serif" w:hAnsi="Times New Roman;serif"/>
                <w:b/>
                <w:color w:val="000000"/>
                <w:sz w:val="20"/>
              </w:rPr>
              <w:t>Delaware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0-21044</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33-0204817</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45"/>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45"/>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15147 N. Scottsdale Road, Suite H300, Scottsdale, Arizona 85254-2494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(480) 530-3000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ind w:left="0" w:right="0" w:firstLine="27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706" w:type="dxa"/>
        <w:jc w:val="center"/>
        <w:tblInd w:w="0" w:type="dxa"/>
        <w:tblLayout w:type="fixed"/>
        <w:tblCellMar>
          <w:top w:w="28" w:type="dxa"/>
          <w:left w:w="28" w:type="dxa"/>
          <w:bottom w:w="28" w:type="dxa"/>
          <w:right w:w="28" w:type="dxa"/>
        </w:tblCellMar>
      </w:tblPr>
      <w:tblGrid>
        <w:gridCol w:w="1267"/>
        <w:gridCol w:w="1114"/>
        <w:gridCol w:w="1114"/>
        <w:gridCol w:w="502"/>
        <w:gridCol w:w="502"/>
        <w:gridCol w:w="502"/>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7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0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Elections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March 13, 2026, Ramzi Ammari, Senior Vice President, Corporate Planning and Strategy of Universal Electronics Inc. (the “Company”), notified the Company of his decision to retire effective May 29, 2026.</w:t>
      </w:r>
      <w:r>
        <w:rPr>
          <w:color w:val="000000"/>
        </w:rPr>
        <w:t xml:space="preserve"> </w:t>
      </w:r>
      <w:r>
        <w:rPr>
          <w:rFonts w:ascii="Times New Roman;serif" w:hAnsi="Times New Roman;serif"/>
          <w:b w:val="false"/>
          <w:color w:val="000000"/>
          <w:sz w:val="20"/>
        </w:rPr>
        <w:t>In connection therewith, the Company and Mr. Ammari entered into a letter agreement pursuant to which, in the event that Mr. Ammari’s employment with the Company is terminated without cause prior to May 29, 2026, he will be paid as a severance payment his current base salary from the date of termination through May 29, 2026, subject to his execution, delivery and non-revocation of the Company’s standard form of separation agreement and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60705"/>
                <wp:effectExtent l="0" t="0" r="0" b="0"/>
                <wp:wrapNone/>
                <wp:docPr id="2" name="Frame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916" w:type="dxa"/>
        <w:jc w:val="center"/>
        <w:tblInd w:w="0" w:type="dxa"/>
        <w:tblLayout w:type="fixed"/>
        <w:tblCellMar>
          <w:top w:w="28" w:type="dxa"/>
          <w:left w:w="28" w:type="dxa"/>
          <w:bottom w:w="28" w:type="dxa"/>
          <w:right w:w="28" w:type="dxa"/>
        </w:tblCellMar>
      </w:tblPr>
      <w:tblGrid>
        <w:gridCol w:w="683"/>
        <w:gridCol w:w="601"/>
        <w:gridCol w:w="605"/>
        <w:gridCol w:w="109"/>
        <w:gridCol w:w="109"/>
        <w:gridCol w:w="109"/>
        <w:gridCol w:w="790"/>
        <w:gridCol w:w="790"/>
        <w:gridCol w:w="112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Universal Electronics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/s/ </w:t>
            </w:r>
            <w:r>
              <w:rPr>
                <w:rFonts w:ascii="Times New Roman;serif" w:hAnsi="Times New Roman;serif"/>
                <w:b w:val="false"/>
                <w:i/>
                <w:color w:val="000000"/>
                <w:sz w:val="20"/>
              </w:rPr>
              <w:t>Richard K. Carnifax</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60705"/>
                <wp:effectExtent l="0" t="0" r="0" b="0"/>
                <wp:wrapNone/>
                <wp:docPr id="3" name="Frame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477</Words>
  <Characters>2818</Characters>
  <CharactersWithSpaces>3263</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