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663762.xml.htm"/>
      <w:bookmarkStart w:id="1" w:name="kswkform3_178666376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Haughawout Joseph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15147 N. SCOTTSDALE RD. STE H300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UNIVERSAL ELECTRONICS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UEIC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25,149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6,666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UEI common stock. On June 17, 2024, the Reporting Person was granted 10,500 RSUs, vesting over a 3 year ratable annual vesting schedule which began on June 17, 2025. The amount included in the table represents the remaining unvested portion of this grant as of the filing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UEI common stock. On May 13, 2025, the Reporting Person was granted 10,000 RSUs, vesting over a 3 year ratable annual vesting schedule which began on May 13, 2026. The amount included in the table represents the remaining unvested portion of this grant as of the filing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(Lee) Haughawout, by Ryan Hochgesang, pursuant to Limited Power of Attorney dated August 6, 2026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forsection16filings-x.htm"/>
      <w:bookmarkStart w:id="3" w:name="kspoaforsection16filingsx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469" TargetMode="External"/><Relationship Id="rId3" Type="http://schemas.openxmlformats.org/officeDocument/2006/relationships/hyperlink" Target="http://www.sec.gov/cgi-bin/browse-edgar?action=getcompany&amp;CIK=000010198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548</Words>
  <Characters>2937</Characters>
  <CharactersWithSpaces>3426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poaforsection16filings-x</dc:title>
</cp:coreProperties>
</file>