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4520"/>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98"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4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49"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2"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1" w:lineRule="exact"/>
        <w:rPr>
          <w:sz w:val="24"/>
          <w:szCs w:val="24"/>
          <w:color w:val="auto"/>
        </w:rPr>
      </w:pPr>
    </w:p>
    <w:p>
      <w:pPr>
        <w:ind w:left="4140"/>
        <w:spacing w:after="0"/>
        <w:tabs>
          <w:tab w:leader="none" w:pos="68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0-21044</w:t>
      </w:r>
    </w:p>
    <w:p>
      <w:pPr>
        <w:spacing w:after="0" w:line="2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UNIVERSAL ELECTRONICS INC.</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3" w:lineRule="exact"/>
        <w:rPr>
          <w:sz w:val="24"/>
          <w:szCs w:val="24"/>
          <w:color w:val="auto"/>
        </w:rPr>
      </w:pPr>
    </w:p>
    <w:tbl>
      <w:tblPr>
        <w:tblLayout w:type="fixed"/>
        <w:tblInd w:w="3040" w:type="dxa"/>
        <w:tblCellMar>
          <w:top w:w="0" w:type="dxa"/>
          <w:left w:w="0" w:type="dxa"/>
          <w:bottom w:w="0" w:type="dxa"/>
          <w:right w:w="0" w:type="dxa"/>
        </w:tblCellMar>
      </w:tblPr>
      <w:tr>
        <w:trPr>
          <w:trHeight w:val="205"/>
        </w:trPr>
        <w:tc>
          <w:tcPr>
            <w:tcW w:w="2820" w:type="dxa"/>
            <w:vAlign w:val="bottom"/>
          </w:tcPr>
          <w:p>
            <w:pPr>
              <w:jc w:val="center"/>
              <w:ind w:right="86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040" w:type="dxa"/>
            <w:vAlign w:val="bottom"/>
          </w:tcPr>
          <w:p>
            <w:pPr>
              <w:jc w:val="center"/>
              <w:ind w:left="867"/>
              <w:spacing w:after="0"/>
              <w:rPr>
                <w:sz w:val="20"/>
                <w:szCs w:val="20"/>
                <w:color w:val="auto"/>
              </w:rPr>
            </w:pPr>
            <w:r>
              <w:rPr>
                <w:rFonts w:ascii="Times New Roman" w:cs="Times New Roman" w:eastAsia="Times New Roman" w:hAnsi="Times New Roman"/>
                <w:sz w:val="16"/>
                <w:szCs w:val="16"/>
                <w:b w:val="1"/>
                <w:bCs w:val="1"/>
                <w:color w:val="auto"/>
                <w:w w:val="95"/>
              </w:rPr>
              <w:t>33-0204817</w:t>
            </w:r>
          </w:p>
        </w:tc>
      </w:tr>
      <w:tr>
        <w:trPr>
          <w:trHeight w:val="145"/>
        </w:trPr>
        <w:tc>
          <w:tcPr>
            <w:tcW w:w="2820" w:type="dxa"/>
            <w:vAlign w:val="bottom"/>
          </w:tcPr>
          <w:p>
            <w:pPr>
              <w:jc w:val="center"/>
              <w:ind w:right="867"/>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40" w:type="dxa"/>
            <w:vAlign w:val="bottom"/>
          </w:tcPr>
          <w:p>
            <w:pPr>
              <w:jc w:val="center"/>
              <w:ind w:left="867"/>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820" w:type="dxa"/>
            <w:vAlign w:val="bottom"/>
          </w:tcPr>
          <w:p>
            <w:pPr>
              <w:jc w:val="center"/>
              <w:ind w:right="84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40" w:type="dxa"/>
            <w:vAlign w:val="bottom"/>
          </w:tcPr>
          <w:p>
            <w:pPr>
              <w:jc w:val="center"/>
              <w:ind w:left="86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15147 N. Scottsdale Road, Suite H300, Scottsdale, Arizona 85254-2494</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(480) 530-3000</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9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UEIC</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02" w:lineRule="exact"/>
        <w:rPr>
          <w:sz w:val="24"/>
          <w:szCs w:val="24"/>
          <w:color w:val="auto"/>
        </w:rPr>
      </w:pPr>
    </w:p>
    <w:p>
      <w:pPr>
        <w:jc w:val="both"/>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jc w:val="both"/>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8"/>
        </w:trPr>
        <w:tc>
          <w:tcPr>
            <w:tcW w:w="17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12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ind w:left="20" w:right="240"/>
        <w:spacing w:after="0" w:line="17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7" w:lineRule="exact"/>
        <w:rPr>
          <w:sz w:val="24"/>
          <w:szCs w:val="24"/>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12,630,302 shares of Common Stock, par value $0.01 per share, of the registrant were outstanding on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264160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63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8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UNIVERSAL ELECTRONICS INC.</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8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5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gridSpan w:val="6"/>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25"/>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820" w:type="dxa"/>
            <w:vAlign w:val="bottom"/>
            <w:gridSpan w:val="7"/>
          </w:tcPr>
          <w:p>
            <w:pPr>
              <w:jc w:val="center"/>
              <w:ind w:left="952"/>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r>
      <w:tr>
        <w:trPr>
          <w:trHeight w:val="160"/>
        </w:trPr>
        <w:tc>
          <w:tcPr>
            <w:tcW w:w="20" w:type="dxa"/>
            <w:vAlign w:val="bottom"/>
          </w:tcPr>
          <w:p>
            <w:pPr>
              <w:spacing w:after="0"/>
              <w:rPr>
                <w:sz w:val="13"/>
                <w:szCs w:val="13"/>
                <w:color w:val="auto"/>
              </w:rPr>
            </w:pPr>
          </w:p>
        </w:tc>
        <w:tc>
          <w:tcPr>
            <w:tcW w:w="844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0000FF"/>
              </w:rPr>
              <w:t>PART I. FINANCIAL INFORMATION</w:t>
            </w:r>
          </w:p>
        </w:tc>
        <w:tc>
          <w:tcPr>
            <w:tcW w:w="1720" w:type="dxa"/>
            <w:vAlign w:val="bottom"/>
          </w:tcPr>
          <w:p>
            <w:pPr>
              <w:spacing w:after="0"/>
              <w:rPr>
                <w:sz w:val="13"/>
                <w:szCs w:val="13"/>
                <w:color w:val="auto"/>
              </w:rPr>
            </w:pPr>
          </w:p>
        </w:tc>
        <w:tc>
          <w:tcPr>
            <w:tcW w:w="260" w:type="dxa"/>
            <w:vAlign w:val="bottom"/>
            <w:tcBorders>
              <w:top w:val="single" w:sz="8" w:color="auto"/>
            </w:tcBorders>
            <w:gridSpan w:val="4"/>
          </w:tcPr>
          <w:p>
            <w:pPr>
              <w:jc w:val="center"/>
              <w:ind w:left="76"/>
              <w:spacing w:after="0"/>
              <w:rPr>
                <w:sz w:val="20"/>
                <w:szCs w:val="20"/>
                <w:color w:val="auto"/>
              </w:rPr>
            </w:pPr>
            <w:r>
              <w:rPr>
                <w:rFonts w:ascii="Times New Roman" w:cs="Times New Roman" w:eastAsia="Times New Roman" w:hAnsi="Times New Roman"/>
                <w:sz w:val="14"/>
                <w:szCs w:val="14"/>
                <w:color w:val="0000FF"/>
              </w:rPr>
              <w:t>3</w:t>
            </w:r>
          </w:p>
        </w:tc>
        <w:tc>
          <w:tcPr>
            <w:tcW w:w="14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Item 1. Consolidated Financial Statements (Unaudited)</w:t>
            </w:r>
          </w:p>
        </w:tc>
        <w:tc>
          <w:tcPr>
            <w:tcW w:w="5320" w:type="dxa"/>
            <w:vAlign w:val="bottom"/>
            <w:gridSpan w:val="4"/>
          </w:tcPr>
          <w:p>
            <w:pPr>
              <w:spacing w:after="0"/>
              <w:rPr>
                <w:sz w:val="13"/>
                <w:szCs w:val="13"/>
                <w:color w:val="auto"/>
              </w:rPr>
            </w:pPr>
          </w:p>
        </w:tc>
        <w:tc>
          <w:tcPr>
            <w:tcW w:w="1880" w:type="dxa"/>
            <w:vAlign w:val="bottom"/>
            <w:gridSpan w:val="3"/>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6640" w:type="dxa"/>
            <w:vAlign w:val="bottom"/>
            <w:gridSpan w:val="11"/>
          </w:tcPr>
          <w:p>
            <w:pPr>
              <w:spacing w:after="0"/>
              <w:rPr>
                <w:sz w:val="13"/>
                <w:szCs w:val="13"/>
                <w:color w:val="auto"/>
              </w:rPr>
            </w:pPr>
          </w:p>
        </w:tc>
        <w:tc>
          <w:tcPr>
            <w:tcW w:w="1880" w:type="dxa"/>
            <w:vAlign w:val="bottom"/>
            <w:gridSpan w:val="3"/>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1980" w:type="dxa"/>
            <w:vAlign w:val="bottom"/>
            <w:gridSpan w:val="5"/>
          </w:tcPr>
          <w:p>
            <w:pPr>
              <w:jc w:val="center"/>
              <w:ind w:left="1792"/>
              <w:spacing w:after="0"/>
              <w:rPr>
                <w:sz w:val="20"/>
                <w:szCs w:val="20"/>
                <w:color w:val="auto"/>
              </w:rPr>
            </w:pPr>
            <w:r>
              <w:rPr>
                <w:rFonts w:ascii="Times New Roman" w:cs="Times New Roman" w:eastAsia="Times New Roman" w:hAnsi="Times New Roman"/>
                <w:sz w:val="14"/>
                <w:szCs w:val="14"/>
                <w:color w:val="0000FF"/>
              </w:rPr>
              <w:t>4</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(Loss)</w:t>
            </w:r>
          </w:p>
        </w:tc>
        <w:tc>
          <w:tcPr>
            <w:tcW w:w="4940" w:type="dxa"/>
            <w:vAlign w:val="bottom"/>
            <w:gridSpan w:val="3"/>
          </w:tcPr>
          <w:p>
            <w:pPr>
              <w:spacing w:after="0"/>
              <w:rPr>
                <w:sz w:val="13"/>
                <w:szCs w:val="13"/>
                <w:color w:val="auto"/>
              </w:rPr>
            </w:pPr>
          </w:p>
        </w:tc>
        <w:tc>
          <w:tcPr>
            <w:tcW w:w="1880" w:type="dxa"/>
            <w:vAlign w:val="bottom"/>
            <w:gridSpan w:val="3"/>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1980" w:type="dxa"/>
            <w:vAlign w:val="bottom"/>
            <w:gridSpan w:val="5"/>
          </w:tcPr>
          <w:p>
            <w:pPr>
              <w:jc w:val="center"/>
              <w:ind w:left="1792"/>
              <w:spacing w:after="0"/>
              <w:rPr>
                <w:sz w:val="20"/>
                <w:szCs w:val="20"/>
                <w:color w:val="auto"/>
              </w:rPr>
            </w:pPr>
            <w:r>
              <w:rPr>
                <w:rFonts w:ascii="Times New Roman" w:cs="Times New Roman" w:eastAsia="Times New Roman" w:hAnsi="Times New Roman"/>
                <w:sz w:val="14"/>
                <w:szCs w:val="14"/>
                <w:color w:val="0000FF"/>
              </w:rPr>
              <w:t>6</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00" w:type="dxa"/>
            <w:vAlign w:val="bottom"/>
            <w:tcBorders>
              <w:top w:val="single" w:sz="8" w:color="0000FF"/>
            </w:tcBorders>
            <w:gridSpan w:val="2"/>
          </w:tcPr>
          <w:p>
            <w:pPr>
              <w:spacing w:after="0"/>
              <w:rPr>
                <w:sz w:val="13"/>
                <w:szCs w:val="13"/>
                <w:color w:val="auto"/>
              </w:rPr>
            </w:pPr>
          </w:p>
        </w:tc>
        <w:tc>
          <w:tcPr>
            <w:tcW w:w="5520" w:type="dxa"/>
            <w:vAlign w:val="bottom"/>
            <w:gridSpan w:val="5"/>
          </w:tcPr>
          <w:p>
            <w:pPr>
              <w:spacing w:after="0"/>
              <w:rPr>
                <w:sz w:val="13"/>
                <w:szCs w:val="13"/>
                <w:color w:val="auto"/>
              </w:rPr>
            </w:pPr>
          </w:p>
        </w:tc>
        <w:tc>
          <w:tcPr>
            <w:tcW w:w="1880" w:type="dxa"/>
            <w:vAlign w:val="bottom"/>
            <w:gridSpan w:val="3"/>
          </w:tcPr>
          <w:p>
            <w:pPr>
              <w:spacing w:after="0"/>
              <w:rPr>
                <w:sz w:val="13"/>
                <w:szCs w:val="13"/>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5800" w:type="dxa"/>
            <w:vAlign w:val="bottom"/>
            <w:gridSpan w:val="6"/>
          </w:tcPr>
          <w:p>
            <w:pPr>
              <w:spacing w:after="0"/>
              <w:rPr>
                <w:sz w:val="13"/>
                <w:szCs w:val="13"/>
                <w:color w:val="auto"/>
              </w:rPr>
            </w:pPr>
          </w:p>
        </w:tc>
        <w:tc>
          <w:tcPr>
            <w:tcW w:w="1880" w:type="dxa"/>
            <w:vAlign w:val="bottom"/>
            <w:gridSpan w:val="3"/>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2940" w:type="dxa"/>
            <w:vAlign w:val="bottom"/>
          </w:tcPr>
          <w:p>
            <w:pPr>
              <w:spacing w:after="0"/>
              <w:rPr>
                <w:sz w:val="13"/>
                <w:szCs w:val="13"/>
                <w:color w:val="auto"/>
              </w:rPr>
            </w:pPr>
          </w:p>
        </w:tc>
        <w:tc>
          <w:tcPr>
            <w:tcW w:w="184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27</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4580" w:type="dxa"/>
            <w:vAlign w:val="bottom"/>
            <w:gridSpan w:val="2"/>
          </w:tcPr>
          <w:p>
            <w:pPr>
              <w:spacing w:after="0"/>
              <w:rPr>
                <w:sz w:val="13"/>
                <w:szCs w:val="13"/>
                <w:color w:val="auto"/>
              </w:rPr>
            </w:pPr>
          </w:p>
        </w:tc>
        <w:tc>
          <w:tcPr>
            <w:tcW w:w="184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32</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4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1980" w:type="dxa"/>
            <w:vAlign w:val="bottom"/>
            <w:gridSpan w:val="5"/>
          </w:tcPr>
          <w:p>
            <w:pPr>
              <w:jc w:val="center"/>
              <w:ind w:left="1772"/>
              <w:spacing w:after="0"/>
              <w:rPr>
                <w:sz w:val="20"/>
                <w:szCs w:val="20"/>
                <w:color w:val="auto"/>
              </w:rPr>
            </w:pPr>
            <w:r>
              <w:rPr>
                <w:rFonts w:ascii="Times New Roman" w:cs="Times New Roman" w:eastAsia="Times New Roman" w:hAnsi="Times New Roman"/>
                <w:sz w:val="14"/>
                <w:szCs w:val="14"/>
                <w:color w:val="0000FF"/>
                <w:w w:val="99"/>
              </w:rPr>
              <w:t>33</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6260" w:type="dxa"/>
            <w:vAlign w:val="bottom"/>
            <w:gridSpan w:val="9"/>
          </w:tcPr>
          <w:p>
            <w:pPr>
              <w:spacing w:after="0"/>
              <w:rPr>
                <w:sz w:val="13"/>
                <w:szCs w:val="13"/>
                <w:color w:val="auto"/>
              </w:rPr>
            </w:pPr>
          </w:p>
        </w:tc>
        <w:tc>
          <w:tcPr>
            <w:tcW w:w="184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33</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4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1980" w:type="dxa"/>
            <w:vAlign w:val="bottom"/>
            <w:gridSpan w:val="5"/>
          </w:tcPr>
          <w:p>
            <w:pPr>
              <w:jc w:val="center"/>
              <w:ind w:left="1772"/>
              <w:spacing w:after="0"/>
              <w:rPr>
                <w:sz w:val="20"/>
                <w:szCs w:val="20"/>
                <w:color w:val="auto"/>
              </w:rPr>
            </w:pPr>
            <w:r>
              <w:rPr>
                <w:rFonts w:ascii="Times New Roman" w:cs="Times New Roman" w:eastAsia="Times New Roman" w:hAnsi="Times New Roman"/>
                <w:sz w:val="14"/>
                <w:szCs w:val="14"/>
                <w:color w:val="0000FF"/>
                <w:w w:val="99"/>
              </w:rPr>
              <w:t>33</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4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6960" w:type="dxa"/>
            <w:vAlign w:val="bottom"/>
            <w:gridSpan w:val="12"/>
          </w:tcPr>
          <w:p>
            <w:pPr>
              <w:spacing w:after="0"/>
              <w:rPr>
                <w:sz w:val="13"/>
                <w:szCs w:val="13"/>
                <w:color w:val="auto"/>
              </w:rPr>
            </w:pPr>
          </w:p>
        </w:tc>
        <w:tc>
          <w:tcPr>
            <w:tcW w:w="1840" w:type="dxa"/>
            <w:vAlign w:val="bottom"/>
            <w:gridSpan w:val="2"/>
          </w:tcPr>
          <w:p>
            <w:pPr>
              <w:spacing w:after="0"/>
              <w:rPr>
                <w:sz w:val="13"/>
                <w:szCs w:val="13"/>
                <w:color w:val="auto"/>
              </w:rPr>
            </w:pPr>
          </w:p>
        </w:tc>
        <w:tc>
          <w:tcPr>
            <w:tcW w:w="14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33</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4580" w:type="dxa"/>
            <w:vAlign w:val="bottom"/>
            <w:gridSpan w:val="2"/>
          </w:tcPr>
          <w:p>
            <w:pPr>
              <w:spacing w:after="0"/>
              <w:rPr>
                <w:sz w:val="13"/>
                <w:szCs w:val="13"/>
                <w:color w:val="auto"/>
              </w:rPr>
            </w:pPr>
          </w:p>
        </w:tc>
        <w:tc>
          <w:tcPr>
            <w:tcW w:w="184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4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Item 5. Other Information</w:t>
            </w:r>
          </w:p>
        </w:tc>
        <w:tc>
          <w:tcPr>
            <w:tcW w:w="1980" w:type="dxa"/>
            <w:vAlign w:val="bottom"/>
            <w:gridSpan w:val="5"/>
          </w:tcPr>
          <w:p>
            <w:pPr>
              <w:jc w:val="center"/>
              <w:ind w:left="1772"/>
              <w:spacing w:after="0"/>
              <w:rPr>
                <w:sz w:val="20"/>
                <w:szCs w:val="20"/>
                <w:color w:val="auto"/>
              </w:rPr>
            </w:pPr>
            <w:r>
              <w:rPr>
                <w:rFonts w:ascii="Times New Roman" w:cs="Times New Roman" w:eastAsia="Times New Roman" w:hAnsi="Times New Roman"/>
                <w:sz w:val="14"/>
                <w:szCs w:val="14"/>
                <w:color w:val="0000FF"/>
                <w:w w:val="99"/>
              </w:rPr>
              <w:t>34</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6980" w:type="dxa"/>
            <w:vAlign w:val="bottom"/>
            <w:gridSpan w:val="13"/>
          </w:tcPr>
          <w:p>
            <w:pPr>
              <w:spacing w:after="0"/>
              <w:rPr>
                <w:sz w:val="13"/>
                <w:szCs w:val="13"/>
                <w:color w:val="auto"/>
              </w:rPr>
            </w:pPr>
          </w:p>
        </w:tc>
        <w:tc>
          <w:tcPr>
            <w:tcW w:w="1840" w:type="dxa"/>
            <w:vAlign w:val="bottom"/>
            <w:gridSpan w:val="2"/>
          </w:tcPr>
          <w:p>
            <w:pPr>
              <w:spacing w:after="0"/>
              <w:rPr>
                <w:sz w:val="13"/>
                <w:szCs w:val="13"/>
                <w:color w:val="auto"/>
              </w:rPr>
            </w:pPr>
          </w:p>
        </w:tc>
        <w:tc>
          <w:tcPr>
            <w:tcW w:w="14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35</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7540" w:type="dxa"/>
            <w:vAlign w:val="bottom"/>
            <w:gridSpan w:val="15"/>
          </w:tcPr>
          <w:p>
            <w:pPr>
              <w:spacing w:after="0"/>
              <w:rPr>
                <w:sz w:val="13"/>
                <w:szCs w:val="13"/>
                <w:color w:val="auto"/>
              </w:rPr>
            </w:pPr>
          </w:p>
        </w:tc>
        <w:tc>
          <w:tcPr>
            <w:tcW w:w="1840" w:type="dxa"/>
            <w:vAlign w:val="bottom"/>
            <w:gridSpan w:val="2"/>
          </w:tcPr>
          <w:p>
            <w:pPr>
              <w:spacing w:after="0"/>
              <w:rPr>
                <w:sz w:val="13"/>
                <w:szCs w:val="13"/>
                <w:color w:val="auto"/>
              </w:rPr>
            </w:pPr>
          </w:p>
        </w:tc>
        <w:tc>
          <w:tcPr>
            <w:tcW w:w="14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36</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67"/>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Consolidated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9"/>
        </w:trPr>
        <w:tc>
          <w:tcPr>
            <w:tcW w:w="754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00" w:type="dxa"/>
            <w:vAlign w:val="bottom"/>
            <w:shd w:val="clear" w:color="auto" w:fill="CCEEFF"/>
          </w:tcPr>
          <w:p>
            <w:pPr>
              <w:jc w:val="right"/>
              <w:ind w:right="1158"/>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32,306</w:t>
            </w: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79,320</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Contract assets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8,091</w:t>
            </w: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77,793</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6,803</w:t>
            </w:r>
          </w:p>
        </w:tc>
        <w:tc>
          <w:tcPr>
            <w:tcW w:w="0" w:type="dxa"/>
            <w:vAlign w:val="bottom"/>
          </w:tcPr>
          <w:p>
            <w:pPr>
              <w:spacing w:after="0"/>
              <w:rPr>
                <w:sz w:val="1"/>
                <w:szCs w:val="1"/>
                <w:color w:val="auto"/>
              </w:rPr>
            </w:pPr>
          </w:p>
        </w:tc>
      </w:tr>
      <w:tr>
        <w:trPr>
          <w:trHeight w:val="168"/>
        </w:trPr>
        <w:tc>
          <w:tcPr>
            <w:tcW w:w="75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Income tax receivable</w:t>
            </w: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0" w:type="dxa"/>
            <w:vAlign w:val="bottom"/>
          </w:tcPr>
          <w:p>
            <w:pPr>
              <w:spacing w:after="0"/>
              <w:rPr>
                <w:sz w:val="1"/>
                <w:szCs w:val="1"/>
                <w:color w:val="auto"/>
              </w:rPr>
            </w:pPr>
          </w:p>
        </w:tc>
      </w:tr>
      <w:tr>
        <w:trPr>
          <w:trHeight w:val="163"/>
        </w:trPr>
        <w:tc>
          <w:tcPr>
            <w:tcW w:w="75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Total current assets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189,343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205,119</w:t>
            </w:r>
          </w:p>
        </w:tc>
        <w:tc>
          <w:tcPr>
            <w:tcW w:w="0" w:type="dxa"/>
            <w:vAlign w:val="bottom"/>
          </w:tcPr>
          <w:p>
            <w:pPr>
              <w:spacing w:after="0"/>
              <w:rPr>
                <w:sz w:val="1"/>
                <w:szCs w:val="1"/>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27,600</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21,968</w:t>
            </w:r>
          </w:p>
        </w:tc>
        <w:tc>
          <w:tcPr>
            <w:tcW w:w="0" w:type="dxa"/>
            <w:vAlign w:val="bottom"/>
          </w:tcPr>
          <w:p>
            <w:pPr>
              <w:spacing w:after="0"/>
              <w:rPr>
                <w:sz w:val="1"/>
                <w:szCs w:val="1"/>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10,203</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5,496</w:t>
            </w:r>
          </w:p>
        </w:tc>
        <w:tc>
          <w:tcPr>
            <w:tcW w:w="0" w:type="dxa"/>
            <w:vAlign w:val="bottom"/>
          </w:tcPr>
          <w:p>
            <w:pPr>
              <w:spacing w:after="0"/>
              <w:rPr>
                <w:sz w:val="1"/>
                <w:szCs w:val="1"/>
                <w:color w:val="auto"/>
              </w:rPr>
            </w:pPr>
          </w:p>
        </w:tc>
      </w:tr>
      <w:tr>
        <w:trPr>
          <w:trHeight w:val="16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3,611</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Total assets</w:t>
            </w:r>
          </w:p>
        </w:tc>
        <w:tc>
          <w:tcPr>
            <w:tcW w:w="1300" w:type="dxa"/>
            <w:vAlign w:val="bottom"/>
            <w:tcBorders>
              <w:bottom w:val="single" w:sz="8" w:color="auto"/>
            </w:tcBorders>
            <w:shd w:val="clear" w:color="auto" w:fill="CCEEFF"/>
          </w:tcPr>
          <w:p>
            <w:pPr>
              <w:jc w:val="right"/>
              <w:ind w:right="1158"/>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255,142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273,997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40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5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1300" w:type="dxa"/>
            <w:vAlign w:val="bottom"/>
          </w:tcPr>
          <w:p>
            <w:pPr>
              <w:jc w:val="right"/>
              <w:ind w:right="1158"/>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48,945</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Lines of credit</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24,079</w:t>
            </w: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compensation</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17,496</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sales discounts, rebates and royalties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w:t>
            </w: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income taxes</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3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20,134</w:t>
            </w:r>
          </w:p>
        </w:tc>
        <w:tc>
          <w:tcPr>
            <w:tcW w:w="0" w:type="dxa"/>
            <w:vAlign w:val="bottom"/>
          </w:tcPr>
          <w:p>
            <w:pPr>
              <w:spacing w:after="0"/>
              <w:rPr>
                <w:sz w:val="1"/>
                <w:szCs w:val="1"/>
                <w:color w:val="auto"/>
              </w:rPr>
            </w:pPr>
          </w:p>
        </w:tc>
      </w:tr>
      <w:tr>
        <w:trPr>
          <w:trHeight w:val="158"/>
        </w:trPr>
        <w:tc>
          <w:tcPr>
            <w:tcW w:w="75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119,310</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lease obligations</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6,193</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income taxes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tax payable</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3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0" w:type="dxa"/>
            <w:vAlign w:val="bottom"/>
          </w:tcPr>
          <w:p>
            <w:pPr>
              <w:spacing w:after="0"/>
              <w:rPr>
                <w:sz w:val="1"/>
                <w:szCs w:val="1"/>
                <w:color w:val="auto"/>
              </w:rPr>
            </w:pPr>
          </w:p>
        </w:tc>
      </w:tr>
      <w:tr>
        <w:trPr>
          <w:trHeight w:val="158"/>
        </w:trPr>
        <w:tc>
          <w:tcPr>
            <w:tcW w:w="75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Total liabilities</w:t>
            </w:r>
          </w:p>
        </w:tc>
        <w:tc>
          <w:tcPr>
            <w:tcW w:w="1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127,813</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12)</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Preferred stock, $0.01 par value, 5,000,000 shares authorized; none issued or outstanding</w:t>
            </w:r>
          </w:p>
        </w:tc>
        <w:tc>
          <w:tcPr>
            <w:tcW w:w="13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54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Common stock, $0.01 par value, 50,000,000 shares authorized; 26,168,633 and 26,146,367 shares issued on March 31, 2026 and</w:t>
            </w:r>
          </w:p>
        </w:tc>
        <w:tc>
          <w:tcPr>
            <w:tcW w:w="13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December 31, 2025, respectively</w:t>
            </w:r>
          </w:p>
        </w:tc>
        <w:tc>
          <w:tcPr>
            <w:tcW w:w="1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Paid-in capital</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350,990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350,222</w:t>
            </w:r>
          </w:p>
        </w:tc>
        <w:tc>
          <w:tcPr>
            <w:tcW w:w="0" w:type="dxa"/>
            <w:vAlign w:val="bottom"/>
          </w:tcPr>
          <w:p>
            <w:pPr>
              <w:spacing w:after="0"/>
              <w:rPr>
                <w:sz w:val="1"/>
                <w:szCs w:val="1"/>
                <w:color w:val="auto"/>
              </w:rPr>
            </w:pPr>
          </w:p>
        </w:tc>
      </w:tr>
      <w:tr>
        <w:trPr>
          <w:trHeight w:val="168"/>
        </w:trPr>
        <w:tc>
          <w:tcPr>
            <w:tcW w:w="75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Treasury stock, at cost, 13,537,944 and 13,537,944 shares on March 31, 2026 and December 31, 2025, respectively</w:t>
            </w: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(375,016)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(375,016)</w:t>
            </w:r>
          </w:p>
        </w:tc>
        <w:tc>
          <w:tcPr>
            <w:tcW w:w="0" w:type="dxa"/>
            <w:vAlign w:val="bottom"/>
          </w:tcPr>
          <w:p>
            <w:pPr>
              <w:spacing w:after="0"/>
              <w:rPr>
                <w:sz w:val="1"/>
                <w:szCs w:val="1"/>
                <w:color w:val="auto"/>
              </w:rPr>
            </w:pPr>
          </w:p>
        </w:tc>
      </w:tr>
      <w:tr>
        <w:trPr>
          <w:trHeight w:val="17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(19,115)</w:t>
            </w:r>
          </w:p>
        </w:tc>
        <w:tc>
          <w:tcPr>
            <w:tcW w:w="0" w:type="dxa"/>
            <w:vAlign w:val="bottom"/>
          </w:tcPr>
          <w:p>
            <w:pPr>
              <w:spacing w:after="0"/>
              <w:rPr>
                <w:sz w:val="1"/>
                <w:szCs w:val="1"/>
                <w:color w:val="auto"/>
              </w:rPr>
            </w:pPr>
          </w:p>
        </w:tc>
      </w:tr>
      <w:tr>
        <w:trPr>
          <w:trHeight w:val="168"/>
        </w:trPr>
        <w:tc>
          <w:tcPr>
            <w:tcW w:w="75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Retained earnings</w:t>
            </w: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182,500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189,832</w:t>
            </w:r>
          </w:p>
        </w:tc>
        <w:tc>
          <w:tcPr>
            <w:tcW w:w="0" w:type="dxa"/>
            <w:vAlign w:val="bottom"/>
          </w:tcPr>
          <w:p>
            <w:pPr>
              <w:spacing w:after="0"/>
              <w:rPr>
                <w:sz w:val="1"/>
                <w:szCs w:val="1"/>
                <w:color w:val="auto"/>
              </w:rPr>
            </w:pPr>
          </w:p>
        </w:tc>
      </w:tr>
      <w:tr>
        <w:trPr>
          <w:trHeight w:val="160"/>
        </w:trPr>
        <w:tc>
          <w:tcPr>
            <w:tcW w:w="75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139,323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146,184</w:t>
            </w:r>
          </w:p>
        </w:tc>
        <w:tc>
          <w:tcPr>
            <w:tcW w:w="0" w:type="dxa"/>
            <w:vAlign w:val="bottom"/>
          </w:tcPr>
          <w:p>
            <w:pPr>
              <w:spacing w:after="0"/>
              <w:rPr>
                <w:sz w:val="1"/>
                <w:szCs w:val="1"/>
                <w:color w:val="auto"/>
              </w:rPr>
            </w:pPr>
          </w:p>
        </w:tc>
      </w:tr>
      <w:tr>
        <w:trPr>
          <w:trHeight w:val="163"/>
        </w:trPr>
        <w:tc>
          <w:tcPr>
            <w:tcW w:w="75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300" w:type="dxa"/>
            <w:vAlign w:val="bottom"/>
            <w:tcBorders>
              <w:bottom w:val="single" w:sz="8" w:color="auto"/>
            </w:tcBorders>
          </w:tcPr>
          <w:p>
            <w:pPr>
              <w:jc w:val="right"/>
              <w:ind w:right="1158"/>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255,142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273,997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2026</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340" w:type="dxa"/>
            <w:vAlign w:val="bottom"/>
            <w:shd w:val="clear" w:color="auto" w:fill="CCEEFF"/>
          </w:tcPr>
          <w:p>
            <w:pPr>
              <w:jc w:val="right"/>
              <w:ind w:right="119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79,036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92,326</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58,436</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66,243</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26,083</w:t>
            </w:r>
          </w:p>
        </w:tc>
        <w:tc>
          <w:tcPr>
            <w:tcW w:w="0" w:type="dxa"/>
            <w:vAlign w:val="bottom"/>
          </w:tcPr>
          <w:p>
            <w:pPr>
              <w:spacing w:after="0"/>
              <w:rPr>
                <w:sz w:val="1"/>
                <w:szCs w:val="1"/>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7,231</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19,049</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22,606</w:t>
            </w:r>
          </w:p>
        </w:tc>
        <w:tc>
          <w:tcPr>
            <w:tcW w:w="0" w:type="dxa"/>
            <w:vAlign w:val="bottom"/>
          </w:tcPr>
          <w:p>
            <w:pPr>
              <w:spacing w:after="0"/>
              <w:rPr>
                <w:sz w:val="1"/>
                <w:szCs w:val="1"/>
                <w:color w:val="auto"/>
              </w:rPr>
            </w:pP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w:t>
            </w:r>
          </w:p>
        </w:tc>
        <w:tc>
          <w:tcPr>
            <w:tcW w:w="13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(3,754)</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1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1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0" w:type="dxa"/>
            <w:vAlign w:val="bottom"/>
          </w:tcPr>
          <w:p>
            <w:pPr>
              <w:spacing w:after="0"/>
              <w:rPr>
                <w:sz w:val="1"/>
                <w:szCs w:val="1"/>
                <w:color w:val="auto"/>
              </w:rPr>
            </w:pP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40" w:type="dxa"/>
            <w:vAlign w:val="bottom"/>
            <w:tcBorders>
              <w:bottom w:val="single" w:sz="8" w:color="auto"/>
            </w:tcBorders>
            <w:shd w:val="clear" w:color="auto" w:fill="CCEEFF"/>
          </w:tcPr>
          <w:p>
            <w:pPr>
              <w:jc w:val="right"/>
              <w:ind w:right="119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(7,332)</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per share:</w:t>
            </w:r>
          </w:p>
        </w:tc>
        <w:tc>
          <w:tcPr>
            <w:tcW w:w="1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1340" w:type="dxa"/>
            <w:vAlign w:val="bottom"/>
            <w:tcBorders>
              <w:bottom w:val="single" w:sz="8" w:color="auto"/>
            </w:tcBorders>
          </w:tcPr>
          <w:p>
            <w:pPr>
              <w:jc w:val="right"/>
              <w:ind w:right="119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1340" w:type="dxa"/>
            <w:vAlign w:val="bottom"/>
            <w:tcBorders>
              <w:bottom w:val="single" w:sz="8" w:color="auto"/>
            </w:tcBorders>
            <w:shd w:val="clear" w:color="auto" w:fill="CCEEFF"/>
          </w:tcPr>
          <w:p>
            <w:pPr>
              <w:jc w:val="right"/>
              <w:ind w:right="119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Shares used in computing earnings (loss) per share:</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0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1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12,619</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00" w:type="dxa"/>
            <w:vAlign w:val="bottom"/>
          </w:tcPr>
          <w:p>
            <w:pPr>
              <w:ind w:left="28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1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12,619</w:t>
            </w:r>
          </w:p>
        </w:tc>
        <w:tc>
          <w:tcPr>
            <w:tcW w:w="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13,083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p>
      <w:pPr>
        <w:spacing w:after="0" w:line="20" w:lineRule="exact"/>
        <w:rPr>
          <w:sz w:val="20"/>
          <w:szCs w:val="20"/>
          <w:color w:val="auto"/>
        </w:rPr>
      </w:pPr>
    </w:p>
    <w:p>
      <w:pPr>
        <w:ind w:left="20" w:firstLine="255"/>
        <w:spacing w:after="0" w:line="349" w:lineRule="auto"/>
        <w:rPr>
          <w:sz w:val="20"/>
          <w:szCs w:val="20"/>
          <w:color w:val="auto"/>
        </w:rPr>
      </w:pPr>
      <w:r>
        <w:rPr>
          <w:rFonts w:ascii="Times New Roman" w:cs="Times New Roman" w:eastAsia="Times New Roman" w:hAnsi="Times New Roman"/>
          <w:sz w:val="13"/>
          <w:szCs w:val="13"/>
          <w:color w:val="auto"/>
        </w:rPr>
        <w:t>Change in foreign currency translation adjustment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25"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(In thousands)</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(Unaudited)</w:t>
      </w:r>
    </w:p>
    <w:p>
      <w:pPr>
        <w:spacing w:after="0" w:line="96"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3540" w:type="dxa"/>
        <w:tblCellMar>
          <w:top w:w="0" w:type="dxa"/>
          <w:left w:w="0" w:type="dxa"/>
          <w:bottom w:w="0" w:type="dxa"/>
          <w:right w:w="0" w:type="dxa"/>
        </w:tblCellMar>
      </w:tblPr>
      <w:tr>
        <w:trPr>
          <w:trHeight w:val="164"/>
        </w:trPr>
        <w:tc>
          <w:tcPr>
            <w:tcW w:w="5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918"/>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918"/>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1"/>
        </w:trPr>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center"/>
              <w:ind w:left="1198"/>
              <w:spacing w:after="0"/>
              <w:rPr>
                <w:sz w:val="20"/>
                <w:szCs w:val="20"/>
                <w:color w:val="auto"/>
              </w:rPr>
            </w:pPr>
            <w:r>
              <w:rPr>
                <w:rFonts w:ascii="Times New Roman" w:cs="Times New Roman" w:eastAsia="Times New Roman" w:hAnsi="Times New Roman"/>
                <w:sz w:val="13"/>
                <w:szCs w:val="13"/>
                <w:color w:val="auto"/>
                <w:w w:val="94"/>
              </w:rPr>
              <w:t>(6,274)</w:t>
            </w:r>
          </w:p>
        </w:tc>
      </w:tr>
      <w:tr>
        <w:trPr>
          <w:trHeight w:val="342"/>
        </w:trPr>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left="1218"/>
              <w:spacing w:after="0"/>
              <w:rPr>
                <w:sz w:val="20"/>
                <w:szCs w:val="20"/>
                <w:color w:val="auto"/>
              </w:rPr>
            </w:pPr>
            <w:r>
              <w:rPr>
                <w:rFonts w:ascii="Times New Roman" w:cs="Times New Roman" w:eastAsia="Times New Roman" w:hAnsi="Times New Roman"/>
                <w:sz w:val="13"/>
                <w:szCs w:val="13"/>
                <w:color w:val="auto"/>
              </w:rPr>
              <w:t>1,578</w:t>
            </w:r>
          </w:p>
        </w:tc>
      </w:tr>
      <w:tr>
        <w:trPr>
          <w:trHeight w:val="160"/>
        </w:trPr>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(7,630)</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center"/>
              <w:ind w:left="1198"/>
              <w:spacing w:after="0"/>
              <w:rPr>
                <w:sz w:val="20"/>
                <w:szCs w:val="20"/>
                <w:color w:val="auto"/>
              </w:rPr>
            </w:pPr>
            <w:r>
              <w:rPr>
                <w:rFonts w:ascii="Times New Roman" w:cs="Times New Roman" w:eastAsia="Times New Roman" w:hAnsi="Times New Roman"/>
                <w:sz w:val="13"/>
                <w:szCs w:val="13"/>
                <w:color w:val="auto"/>
                <w:w w:val="94"/>
              </w:rPr>
              <w:t>(4,696)</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-471170</wp:posOffset>
            </wp:positionV>
            <wp:extent cx="716153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-248920</wp:posOffset>
            </wp:positionV>
            <wp:extent cx="7161530" cy="107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840" w:space="420"/>
            <w:col w:w="8020"/>
          </w:cols>
          <w:pgMar w:left="300" w:top="12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summarizes the changes in total equity for three months ended March 31, 2026:</w:t>
      </w:r>
    </w:p>
    <w:p>
      <w:pPr>
        <w:spacing w:after="0" w:line="85" w:lineRule="exact"/>
        <w:rPr>
          <w:sz w:val="20"/>
          <w:szCs w:val="20"/>
          <w:color w:val="auto"/>
        </w:rPr>
      </w:pPr>
    </w:p>
    <w:tbl>
      <w:tblPr>
        <w:tblLayout w:type="fixed"/>
        <w:tblInd w:w="3700" w:type="dxa"/>
        <w:tblCellMar>
          <w:top w:w="0" w:type="dxa"/>
          <w:left w:w="0" w:type="dxa"/>
          <w:bottom w:w="0" w:type="dxa"/>
          <w:right w:w="0" w:type="dxa"/>
        </w:tblCellMar>
      </w:tblPr>
      <w:tr>
        <w:trPr>
          <w:trHeight w:val="126"/>
        </w:trPr>
        <w:tc>
          <w:tcPr>
            <w:tcW w:w="18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2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840" w:type="dxa"/>
            <w:vAlign w:val="bottom"/>
            <w:gridSpan w:val="3"/>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Other</w:t>
            </w: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660" w:type="dxa"/>
            <w:vAlign w:val="bottom"/>
          </w:tcPr>
          <w:p>
            <w:pPr>
              <w:spacing w:after="0"/>
              <w:rPr>
                <w:sz w:val="3"/>
                <w:szCs w:val="3"/>
                <w:color w:val="auto"/>
              </w:rPr>
            </w:pPr>
          </w:p>
        </w:tc>
        <w:tc>
          <w:tcPr>
            <w:tcW w:w="1100" w:type="dxa"/>
            <w:vAlign w:val="bottom"/>
            <w:vMerge w:val="restart"/>
          </w:tcPr>
          <w:p>
            <w:pPr>
              <w:jc w:val="center"/>
              <w:ind w:right="603"/>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80" w:type="dxa"/>
            <w:vAlign w:val="bottom"/>
            <w:vMerge w:val="restart"/>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vMerge w:val="restart"/>
          </w:tcPr>
          <w:p>
            <w:pPr>
              <w:jc w:val="center"/>
              <w:ind w:right="543"/>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9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920" w:type="dxa"/>
            <w:vAlign w:val="bottom"/>
          </w:tcPr>
          <w:p>
            <w:pPr>
              <w:ind w:left="300"/>
              <w:spacing w:after="0" w:line="10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0" w:type="dxa"/>
            <w:vAlign w:val="bottom"/>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60" w:type="dxa"/>
            <w:vAlign w:val="bottom"/>
          </w:tcPr>
          <w:p>
            <w:pPr>
              <w:ind w:left="24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16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2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9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58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w w:val="95"/>
              </w:rPr>
              <w:t>Totals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00" w:top="120"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at December 31, 2025</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20" w:lineRule="exact"/>
        <w:rPr>
          <w:sz w:val="20"/>
          <w:szCs w:val="20"/>
          <w:color w:val="auto"/>
        </w:rPr>
      </w:pPr>
    </w:p>
    <w:p>
      <w:pPr>
        <w:ind w:left="20"/>
        <w:spacing w:after="0" w:line="285" w:lineRule="auto"/>
        <w:rPr>
          <w:sz w:val="20"/>
          <w:szCs w:val="20"/>
          <w:color w:val="auto"/>
        </w:rPr>
      </w:pPr>
      <w:r>
        <w:rPr>
          <w:rFonts w:ascii="Times New Roman" w:cs="Times New Roman" w:eastAsia="Times New Roman" w:hAnsi="Times New Roman"/>
          <w:sz w:val="13"/>
          <w:szCs w:val="13"/>
          <w:color w:val="auto"/>
        </w:rPr>
        <w:t>Shares issued for employee benefit plan and compensation Employee and director stock-based compensation Balance at March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26,146</w:t>
            </w:r>
          </w:p>
        </w:tc>
        <w:tc>
          <w:tcPr>
            <w:tcW w:w="60" w:type="dxa"/>
            <w:vAlign w:val="bottom"/>
          </w:tcPr>
          <w:p>
            <w:pPr>
              <w:spacing w:after="0"/>
              <w:rPr>
                <w:sz w:val="14"/>
                <w:szCs w:val="14"/>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(13,538)</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(375,016)</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350,222</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(19,115)</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189,832</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146,184</w:t>
            </w:r>
          </w:p>
        </w:tc>
      </w:tr>
      <w:tr>
        <w:trPr>
          <w:trHeight w:val="170"/>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w:t>
            </w:r>
          </w:p>
        </w:tc>
      </w:tr>
      <w:tr>
        <w:trPr>
          <w:trHeight w:val="170"/>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70"/>
        </w:trPr>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w:t>
            </w:r>
          </w:p>
        </w:tc>
      </w:tr>
      <w:tr>
        <w:trPr>
          <w:trHeight w:val="158"/>
        </w:trPr>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26,169</w:t>
            </w:r>
          </w:p>
        </w:tc>
        <w:tc>
          <w:tcPr>
            <w:tcW w:w="6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(13,538)</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(375,016)</w:t>
            </w:r>
          </w:p>
        </w:tc>
        <w:tc>
          <w:tcPr>
            <w:tcW w:w="6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350,990</w:t>
            </w:r>
          </w:p>
        </w:tc>
        <w:tc>
          <w:tcPr>
            <w:tcW w:w="80" w:type="dxa"/>
            <w:vAlign w:val="bottom"/>
          </w:tcPr>
          <w:p>
            <w:pPr>
              <w:spacing w:after="0"/>
              <w:rPr>
                <w:sz w:val="13"/>
                <w:szCs w:val="13"/>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(19,413)</w:t>
            </w:r>
          </w:p>
        </w:tc>
        <w:tc>
          <w:tcPr>
            <w:tcW w:w="8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182,500</w:t>
            </w:r>
          </w:p>
        </w:tc>
        <w:tc>
          <w:tcPr>
            <w:tcW w:w="8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-656590</wp:posOffset>
            </wp:positionV>
            <wp:extent cx="7134860"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-434340</wp:posOffset>
            </wp:positionV>
            <wp:extent cx="7134860" cy="107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-219075</wp:posOffset>
            </wp:positionV>
            <wp:extent cx="7134860" cy="107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0795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000" w:space="700"/>
            <w:col w:w="7560"/>
          </w:cols>
          <w:pgMar w:left="300" w:top="120" w:right="3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following summarizes the changes in total equity for three months ended </w:t>
      </w:r>
      <w:r>
        <w:rPr>
          <w:rFonts w:ascii="Times New Roman" w:cs="Times New Roman" w:eastAsia="Times New Roman" w:hAnsi="Times New Roman"/>
          <w:sz w:val="14"/>
          <w:szCs w:val="14"/>
          <w:color w:val="auto"/>
        </w:rPr>
        <w:t>March 31, 2025</w:t>
      </w:r>
      <w:r>
        <w:rPr>
          <w:rFonts w:ascii="Times New Roman" w:cs="Times New Roman" w:eastAsia="Times New Roman" w:hAnsi="Times New Roman"/>
          <w:sz w:val="13"/>
          <w:szCs w:val="13"/>
          <w:color w:val="auto"/>
        </w:rPr>
        <w:t>:</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1840" w:type="dxa"/>
            <w:vAlign w:val="bottom"/>
            <w:gridSpan w:val="5"/>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2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3700" w:type="dxa"/>
            <w:vAlign w:val="bottom"/>
          </w:tcPr>
          <w:p>
            <w:pPr>
              <w:spacing w:after="0"/>
              <w:rPr>
                <w:sz w:val="3"/>
                <w:szCs w:val="3"/>
                <w:color w:val="auto"/>
              </w:rPr>
            </w:pPr>
          </w:p>
        </w:tc>
        <w:tc>
          <w:tcPr>
            <w:tcW w:w="1840" w:type="dxa"/>
            <w:vAlign w:val="bottom"/>
            <w:gridSpan w:val="5"/>
            <w:vMerge w:val="continue"/>
          </w:tcPr>
          <w:p>
            <w:pPr>
              <w:spacing w:after="0"/>
              <w:rPr>
                <w:sz w:val="3"/>
                <w:szCs w:val="3"/>
                <w:color w:val="auto"/>
              </w:rPr>
            </w:pPr>
          </w:p>
        </w:tc>
        <w:tc>
          <w:tcPr>
            <w:tcW w:w="1820" w:type="dxa"/>
            <w:vAlign w:val="bottom"/>
            <w:gridSpan w:val="5"/>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1100" w:type="dxa"/>
            <w:vAlign w:val="bottom"/>
            <w:gridSpan w:val="3"/>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gridSpan w:val="4"/>
            <w:vMerge w:val="restart"/>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6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700" w:type="dxa"/>
            <w:vAlign w:val="bottom"/>
          </w:tcPr>
          <w:p>
            <w:pPr>
              <w:spacing w:after="0"/>
              <w:rPr>
                <w:sz w:val="6"/>
                <w:szCs w:val="6"/>
                <w:color w:val="auto"/>
              </w:rPr>
            </w:pPr>
          </w:p>
        </w:tc>
        <w:tc>
          <w:tcPr>
            <w:tcW w:w="1100" w:type="dxa"/>
            <w:vAlign w:val="bottom"/>
            <w:tcBorders>
              <w:bottom w:val="single" w:sz="8" w:color="auto"/>
            </w:tcBorders>
            <w:gridSpan w:val="3"/>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Paid-in</w:t>
            </w:r>
          </w:p>
        </w:tc>
        <w:tc>
          <w:tcPr>
            <w:tcW w:w="120" w:type="dxa"/>
            <w:vAlign w:val="bottom"/>
          </w:tcPr>
          <w:p>
            <w:pPr>
              <w:spacing w:after="0"/>
              <w:rPr>
                <w:sz w:val="6"/>
                <w:szCs w:val="6"/>
                <w:color w:val="auto"/>
              </w:rPr>
            </w:pPr>
          </w:p>
        </w:tc>
        <w:tc>
          <w:tcPr>
            <w:tcW w:w="1020" w:type="dxa"/>
            <w:vAlign w:val="bottom"/>
            <w:gridSpan w:val="2"/>
          </w:tcPr>
          <w:p>
            <w:pPr>
              <w:jc w:val="center"/>
              <w:ind w:right="200"/>
              <w:spacing w:after="0" w:line="79"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40" w:type="dxa"/>
            <w:vAlign w:val="bottom"/>
          </w:tcPr>
          <w:p>
            <w:pPr>
              <w:spacing w:after="0"/>
              <w:rPr>
                <w:sz w:val="6"/>
                <w:szCs w:val="6"/>
                <w:color w:val="auto"/>
              </w:rPr>
            </w:pPr>
          </w:p>
        </w:tc>
        <w:tc>
          <w:tcPr>
            <w:tcW w:w="800" w:type="dxa"/>
            <w:vAlign w:val="bottom"/>
            <w:gridSpan w:val="2"/>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Retained</w:t>
            </w: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165"/>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(371,930)</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344,697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208,431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153,105</w:t>
            </w:r>
          </w:p>
        </w:tc>
        <w:tc>
          <w:tcPr>
            <w:tcW w:w="0" w:type="dxa"/>
            <w:vAlign w:val="bottom"/>
          </w:tcPr>
          <w:p>
            <w:pPr>
              <w:spacing w:after="0"/>
              <w:rPr>
                <w:sz w:val="1"/>
                <w:szCs w:val="1"/>
                <w:color w:val="auto"/>
              </w:rPr>
            </w:pPr>
          </w:p>
        </w:tc>
      </w:tr>
      <w:tr>
        <w:trPr>
          <w:trHeight w:val="168"/>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(6,274)</w:t>
            </w:r>
          </w:p>
        </w:tc>
        <w:tc>
          <w:tcPr>
            <w:tcW w:w="0" w:type="dxa"/>
            <w:vAlign w:val="bottom"/>
          </w:tcPr>
          <w:p>
            <w:pPr>
              <w:spacing w:after="0"/>
              <w:rPr>
                <w:sz w:val="1"/>
                <w:szCs w:val="1"/>
                <w:color w:val="auto"/>
              </w:rPr>
            </w:pPr>
          </w:p>
        </w:tc>
      </w:tr>
      <w:tr>
        <w:trPr>
          <w:trHeight w:val="172"/>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0" w:type="dxa"/>
            <w:vAlign w:val="bottom"/>
          </w:tcPr>
          <w:p>
            <w:pPr>
              <w:spacing w:after="0"/>
              <w:rPr>
                <w:sz w:val="1"/>
                <w:szCs w:val="1"/>
                <w:color w:val="auto"/>
              </w:rPr>
            </w:pPr>
          </w:p>
        </w:tc>
      </w:tr>
      <w:tr>
        <w:trPr>
          <w:trHeight w:val="168"/>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for employee benefit plan and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72"/>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treasury shares</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68"/>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to directors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and director stock-based compensation</w:t>
            </w: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25,845</w:t>
            </w:r>
          </w:p>
        </w:tc>
        <w:tc>
          <w:tcPr>
            <w:tcW w:w="8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(12,707)</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(372,313)</w:t>
            </w:r>
          </w:p>
        </w:tc>
        <w:tc>
          <w:tcPr>
            <w:tcW w:w="6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346,639</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(26,772)</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202,157</w:t>
            </w:r>
          </w:p>
        </w:tc>
        <w:tc>
          <w:tcPr>
            <w:tcW w:w="8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149,969</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154"/>
        </w:trPr>
        <w:tc>
          <w:tcPr>
            <w:tcW w:w="83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r>
      <w:tr>
        <w:trPr>
          <w:trHeight w:val="15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68"/>
        </w:trPr>
        <w:tc>
          <w:tcPr>
            <w:tcW w:w="8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w:t>
            </w:r>
          </w:p>
        </w:tc>
        <w:tc>
          <w:tcPr>
            <w:tcW w:w="100" w:type="dxa"/>
            <w:vAlign w:val="bottom"/>
          </w:tcPr>
          <w:p>
            <w:pPr>
              <w:spacing w:after="0"/>
              <w:rPr>
                <w:sz w:val="14"/>
                <w:szCs w:val="14"/>
                <w:color w:val="auto"/>
              </w:rPr>
            </w:pPr>
          </w:p>
        </w:tc>
        <w:tc>
          <w:tcPr>
            <w:tcW w:w="9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(6,274)</w:t>
            </w:r>
          </w:p>
        </w:tc>
      </w:tr>
      <w:tr>
        <w:trPr>
          <w:trHeight w:val="172"/>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(used for) operating activities: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83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4,051</w:t>
            </w:r>
          </w:p>
        </w:tc>
      </w:tr>
      <w:tr>
        <w:trPr>
          <w:trHeight w:val="172"/>
        </w:trPr>
        <w:tc>
          <w:tcPr>
            <w:tcW w:w="8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83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Deferred income taxes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2"/>
        </w:trPr>
        <w:tc>
          <w:tcPr>
            <w:tcW w:w="8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Shares issued for employee benefit plan and compensation</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68"/>
        </w:trPr>
        <w:tc>
          <w:tcPr>
            <w:tcW w:w="83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Employee and director stock-based compensation</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w:t>
            </w:r>
          </w:p>
        </w:tc>
      </w:tr>
      <w:tr>
        <w:trPr>
          <w:trHeight w:val="172"/>
        </w:trPr>
        <w:tc>
          <w:tcPr>
            <w:tcW w:w="8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Gain on sale of property, plant, and equipment</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3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8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Accounts receivable and contract assets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10,514</w:t>
            </w:r>
          </w:p>
        </w:tc>
      </w:tr>
      <w:tr>
        <w:trPr>
          <w:trHeight w:val="168"/>
        </w:trPr>
        <w:tc>
          <w:tcPr>
            <w:tcW w:w="83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Inventories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2,956</w:t>
            </w:r>
          </w:p>
        </w:tc>
      </w:tr>
      <w:tr>
        <w:trPr>
          <w:trHeight w:val="172"/>
        </w:trPr>
        <w:tc>
          <w:tcPr>
            <w:tcW w:w="8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68"/>
        </w:trPr>
        <w:tc>
          <w:tcPr>
            <w:tcW w:w="83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(5,298)</w:t>
            </w:r>
          </w:p>
        </w:tc>
      </w:tr>
      <w:tr>
        <w:trPr>
          <w:trHeight w:val="172"/>
        </w:trPr>
        <w:tc>
          <w:tcPr>
            <w:tcW w:w="8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Accrued income taxes</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r>
      <w:tr>
        <w:trPr>
          <w:trHeight w:val="158"/>
        </w:trPr>
        <w:tc>
          <w:tcPr>
            <w:tcW w:w="8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cash provided by (used for) operating activities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8,984</w:t>
            </w:r>
          </w:p>
        </w:tc>
      </w:tr>
      <w:tr>
        <w:trPr>
          <w:trHeight w:val="17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8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of Blue Chip Swap securities (Note 15)</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172"/>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 of Blue Chip Swap securities (Note 15)</w:t>
            </w: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r>
      <w:tr>
        <w:trPr>
          <w:trHeight w:val="168"/>
        </w:trPr>
        <w:tc>
          <w:tcPr>
            <w:tcW w:w="8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Acquisitions of property, plant and equipment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w:t>
            </w:r>
          </w:p>
        </w:tc>
      </w:tr>
      <w:tr>
        <w:trPr>
          <w:trHeight w:val="172"/>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Acquisitions of intangible assets</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r>
      <w:tr>
        <w:trPr>
          <w:trHeight w:val="158"/>
        </w:trPr>
        <w:tc>
          <w:tcPr>
            <w:tcW w:w="8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cash provided by (used for) investing activities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w:t>
            </w:r>
          </w:p>
        </w:tc>
      </w:tr>
      <w:tr>
        <w:trPr>
          <w:trHeight w:val="17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8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Borrowings under lines of credit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r>
      <w:tr>
        <w:trPr>
          <w:trHeight w:val="172"/>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Repayments on lines of credit</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w:t>
            </w:r>
          </w:p>
        </w:tc>
      </w:tr>
      <w:tr>
        <w:trPr>
          <w:trHeight w:val="168"/>
        </w:trPr>
        <w:tc>
          <w:tcPr>
            <w:tcW w:w="8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Treasury stock purchased</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63"/>
        </w:trPr>
        <w:tc>
          <w:tcPr>
            <w:tcW w:w="8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provided by (used for) financing activities</w:t>
            </w:r>
          </w:p>
        </w:tc>
        <w:tc>
          <w:tcPr>
            <w:tcW w:w="9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(6,383)</w:t>
            </w:r>
          </w:p>
        </w:tc>
      </w:tr>
      <w:tr>
        <w:trPr>
          <w:trHeight w:val="16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rates on cash and cash equivalents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6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r>
      <w:tr>
        <w:trPr>
          <w:trHeight w:val="16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32,306</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26,783</w:t>
            </w:r>
          </w:p>
        </w:tc>
      </w:tr>
      <w:tr>
        <w:trPr>
          <w:trHeight w:val="18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90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29,826</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cash flow information:</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w:t>
            </w:r>
          </w:p>
        </w:tc>
        <w:tc>
          <w:tcPr>
            <w:tcW w:w="900" w:type="dxa"/>
            <w:vAlign w:val="bottom"/>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tcPr>
          <w:p>
            <w:pPr>
              <w:spacing w:after="0"/>
              <w:rPr>
                <w:sz w:val="14"/>
                <w:szCs w:val="14"/>
                <w:color w:val="auto"/>
              </w:rPr>
            </w:pPr>
          </w:p>
        </w:tc>
        <w:tc>
          <w:tcPr>
            <w:tcW w:w="9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r>
      <w:tr>
        <w:trPr>
          <w:trHeight w:val="17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9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r>
      <w:tr>
        <w:trPr>
          <w:trHeight w:val="367"/>
        </w:trPr>
        <w:tc>
          <w:tcPr>
            <w:tcW w:w="8320" w:type="dxa"/>
            <w:vAlign w:val="bottom"/>
          </w:tcPr>
          <w:p>
            <w:pPr>
              <w:ind w:left="342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restructuring charges, as described in Note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"UEI," "we," "us," and "our" refer to Universal Electronics Inc. and its subsidiaries, unless the context indicates to the contrary.</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results of operations for the three ended March 31, 2026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Estimates and Assumptions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and intangible assets, business combinations, income taxes and related valuation allowances and stock-based compensation expense. Actual results may differ from these assumptions and estimates, and they may be adjusted as more information becomes available. Any adjustment may be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Significant Accounting Policies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With the exception of the following policy, our significant accounting policies are unchanged from those disclosed in Note 2 to the consolidated financial statements included in our Annual Report on Form 10-K for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July 2025, the Financial Accounting Standards Board (the "FASB") issued Accounting Standards Update ("ASU") 2025-05, "Financial Instruments-Credit Losses (Topic 326): Measurement of Credit Losses for Accounts Receivable and Contract Assets". This guidance allows entities to elect a practical expedient that assumes that the current conditions as of the balance sheet date do not change for the remaining life of the asset. This guidance is effective for annual periods beginning after December 15, 2025, and interim reporting periods within those annual reporting periods. The guidance is to be applied on a prospective basis, with early adoption permitted. The Company adopted this standard on a prospective basis for the year beginning January 1, 2026 and elected the practical expedient allowed by ASU. The adoption of this ASU is not expected to have a material impact on our consolidated financial statements and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 Not Yet Effective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September 2025, the FASB issued ASU 2025-06, "Intangibles-Goodwill and Other-Internal Use Software (Subtopic 350-40): Targeted Improvements to the Accounting for Internal-Use Software". This guidance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This guidance is effective for annual periods beginning after December 15, 2027, and interim reporting periods within those annual reporting periods. The guidance is to be applied on a prospective basis, or on a modified transition approach or a retrospective transition approach, with early adoption permitted. We are currently evaluating the impact of adopting this guidance on our consolidated financial statements and disclosures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assessed all other ASUs issued but not yet adopted and concluded that those not disclosed are not relevant to the Company or are not expected to have a material impact.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Cash and Cash Equivalents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were held in the following geographic regions: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People's Republic of China ("PRC")</w:t>
            </w: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w w:val="95"/>
              </w:rPr>
              <w:t>7,765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8,980</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(excluding the PRC)</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3,152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9,980</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 America</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5,778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0" w:type="dxa"/>
            <w:vAlign w:val="bottom"/>
          </w:tcPr>
          <w:p>
            <w:pPr>
              <w:spacing w:after="0"/>
              <w:rPr>
                <w:sz w:val="1"/>
                <w:szCs w:val="1"/>
                <w:color w:val="auto"/>
              </w:rPr>
            </w:pPr>
          </w:p>
        </w:tc>
      </w:tr>
      <w:tr>
        <w:trPr>
          <w:trHeight w:val="171"/>
        </w:trPr>
        <w:tc>
          <w:tcPr>
            <w:tcW w:w="6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3"/>
              </w:rPr>
              <w:t>29,826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3 — Revenue and Accounts Receivable, Net</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 Details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The pattern of revenue recognition was as follows: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Goods and services transferred at a point in time</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71,391</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Goods and services transferred over time</w:t>
            </w: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sales</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Our net sales to external customers by channel were as follows:</w:t>
            </w: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1"/>
                <w:szCs w:val="11"/>
                <w:b w:val="1"/>
                <w:bCs w:val="1"/>
                <w:color w:val="auto"/>
                <w:w w:val="90"/>
              </w:rPr>
              <w:t>2026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Connected home </w:t>
            </w:r>
            <w:r>
              <w:rPr>
                <w:rFonts w:ascii="Times New Roman" w:cs="Times New Roman" w:eastAsia="Times New Roman" w:hAnsi="Times New Roman"/>
                <w:sz w:val="18"/>
                <w:szCs w:val="18"/>
                <w:color w:val="auto"/>
                <w:vertAlign w:val="superscript"/>
              </w:rPr>
              <w:t>(1)</w:t>
            </w:r>
          </w:p>
        </w:tc>
        <w:tc>
          <w:tcPr>
            <w:tcW w:w="90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31,729</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Home entertainment </w:t>
            </w:r>
            <w:r>
              <w:rPr>
                <w:rFonts w:ascii="Times New Roman" w:cs="Times New Roman" w:eastAsia="Times New Roman" w:hAnsi="Times New Roman"/>
                <w:sz w:val="18"/>
                <w:szCs w:val="18"/>
                <w:color w:val="auto"/>
                <w:vertAlign w:val="superscript"/>
              </w:rPr>
              <w:t>(2)</w:t>
            </w: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60,597</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sales</w:t>
            </w:r>
          </w:p>
        </w:tc>
        <w:tc>
          <w:tcPr>
            <w:tcW w:w="900" w:type="dxa"/>
            <w:vAlign w:val="bottom"/>
            <w:tcBorders>
              <w:bottom w:val="single" w:sz="8" w:color="auto"/>
            </w:tcBorders>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connected home channel represents climate control, smart home and security product sales sold primarily to HVAC, security, home automation and home appliance customers.</w:t>
      </w:r>
    </w:p>
    <w:p>
      <w:pPr>
        <w:spacing w:after="0" w:line="66" w:lineRule="exact"/>
        <w:rPr>
          <w:rFonts w:ascii="Times New Roman" w:cs="Times New Roman" w:eastAsia="Times New Roman" w:hAnsi="Times New Roman"/>
          <w:sz w:val="18"/>
          <w:szCs w:val="18"/>
          <w:color w:val="auto"/>
          <w:vertAlign w:val="superscript"/>
        </w:rPr>
      </w:pPr>
    </w:p>
    <w:p>
      <w:pPr>
        <w:ind w:left="520" w:hanging="260"/>
        <w:spacing w:after="0" w:line="226" w:lineRule="auto"/>
        <w:tabs>
          <w:tab w:leader="none" w:pos="51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net sales to external customers by geographic area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r>
      <w:tr>
        <w:trPr>
          <w:trHeight w:val="15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30,558</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(excluding PRC)</w:t>
            </w:r>
          </w:p>
        </w:tc>
        <w:tc>
          <w:tcPr>
            <w:tcW w:w="5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16,526</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18,747</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5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23,378</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20,698</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5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PRC</w:t>
            </w:r>
          </w:p>
        </w:tc>
        <w:tc>
          <w:tcPr>
            <w:tcW w:w="5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8,918</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net sales</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79,036</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 identification of the customer billing location was the basis used for attributing revenues from external customers to geographic areas.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net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60" w:type="dxa"/>
            <w:vAlign w:val="bottom"/>
          </w:tcPr>
          <w:p>
            <w:pPr>
              <w:spacing w:after="0"/>
              <w:rPr>
                <w:sz w:val="13"/>
                <w:szCs w:val="13"/>
                <w:color w:val="auto"/>
              </w:rPr>
            </w:pPr>
          </w:p>
        </w:tc>
        <w:tc>
          <w:tcPr>
            <w:tcW w:w="150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gross</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71,410</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sales returns</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71"/>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receivables, net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70,404</w:t>
            </w:r>
          </w:p>
        </w:tc>
      </w:tr>
      <w:tr>
        <w:trPr>
          <w:trHeight w:val="180"/>
        </w:trPr>
        <w:tc>
          <w:tcPr>
            <w:tcW w:w="7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w:t>
            </w:r>
          </w:p>
        </w:tc>
      </w:tr>
      <w:tr>
        <w:trPr>
          <w:trHeight w:val="171"/>
        </w:trPr>
        <w:tc>
          <w:tcPr>
            <w:tcW w:w="7660" w:type="dxa"/>
            <w:vAlign w:val="bottom"/>
          </w:tcPr>
          <w:p>
            <w:pPr>
              <w:ind w:left="280"/>
              <w:spacing w:after="0" w:line="171" w:lineRule="exact"/>
              <w:rPr>
                <w:sz w:val="20"/>
                <w:szCs w:val="20"/>
                <w:color w:val="auto"/>
              </w:rPr>
            </w:pPr>
            <w:r>
              <w:rPr>
                <w:rFonts w:ascii="Times New Roman" w:cs="Times New Roman" w:eastAsia="Times New Roman" w:hAnsi="Times New Roman"/>
                <w:sz w:val="14"/>
                <w:szCs w:val="14"/>
                <w:color w:val="auto"/>
              </w:rPr>
              <w:t xml:space="preserve">Accounts receivable, net </w:t>
            </w:r>
            <w:r>
              <w:rPr>
                <w:rFonts w:ascii="Times New Roman" w:cs="Times New Roman" w:eastAsia="Times New Roman" w:hAnsi="Times New Roman"/>
                <w:sz w:val="18"/>
                <w:szCs w:val="18"/>
                <w:color w:val="auto"/>
                <w:vertAlign w:val="superscript"/>
              </w:rPr>
              <w:t>(2)</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79,320</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00" w:hanging="240"/>
        <w:spacing w:after="0"/>
        <w:tabs>
          <w:tab w:leader="none" w:pos="50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accounts receivable is primarily comprised of supplier, supplier rebate and interest receivables.</w:t>
      </w:r>
    </w:p>
    <w:p>
      <w:pPr>
        <w:spacing w:after="0" w:line="66" w:lineRule="exact"/>
        <w:rPr>
          <w:rFonts w:ascii="Times New Roman" w:cs="Times New Roman" w:eastAsia="Times New Roman" w:hAnsi="Times New Roman"/>
          <w:sz w:val="18"/>
          <w:szCs w:val="18"/>
          <w:color w:val="auto"/>
          <w:vertAlign w:val="superscript"/>
        </w:rPr>
      </w:pPr>
    </w:p>
    <w:p>
      <w:pPr>
        <w:ind w:left="500" w:hanging="240"/>
        <w:spacing w:after="0" w:line="206" w:lineRule="auto"/>
        <w:tabs>
          <w:tab w:leader="none" w:pos="50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Accounts receivable, net at December 31, 2024 was $114.2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allowance for credit losses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20" w:type="dxa"/>
            <w:vAlign w:val="bottom"/>
            <w:tcBorders>
              <w:bottom w:val="single" w:sz="8" w:color="auto"/>
            </w:tcBorders>
          </w:tcPr>
          <w:p>
            <w:pPr>
              <w:spacing w:after="0"/>
              <w:rPr>
                <w:sz w:val="13"/>
                <w:szCs w:val="13"/>
                <w:color w:val="auto"/>
              </w:rPr>
            </w:pPr>
          </w:p>
        </w:tc>
      </w:tr>
      <w:tr>
        <w:trPr>
          <w:trHeight w:val="154"/>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(reductions) to costs and expenses</w:t>
            </w:r>
          </w:p>
        </w:tc>
        <w:tc>
          <w:tcPr>
            <w:tcW w:w="44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receipts</w:t>
            </w:r>
          </w:p>
        </w:tc>
        <w:tc>
          <w:tcPr>
            <w:tcW w:w="4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Write-offs/Foreign exchange effects</w:t>
            </w: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6"/>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Contract assets were $7.3 million and $8.1 million at March 31, 2026 and December 31, 2025, respectively. The change in balances between periods is due to the fluctuation of custom product inventory balances for which we have an enforceable right to payment for performance completed to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Liabilities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current and non-current contract liability balances primarily consisting of cash received in advance of providing our cloud-based software services. Contract liabilities are included within other accrued liabilities and other long-term liabilities in our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carrying amount of contract liabilities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received</w:t>
            </w: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recognized</w:t>
            </w:r>
          </w:p>
        </w:tc>
        <w:tc>
          <w:tcPr>
            <w:tcW w:w="3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effects</w:t>
            </w:r>
          </w:p>
        </w:tc>
        <w:tc>
          <w:tcPr>
            <w:tcW w:w="3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969"/>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36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6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to the following customers totaled more than 10% of our net sales: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10"/>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1840" w:type="dxa"/>
            <w:vAlign w:val="bottom"/>
            <w:gridSpan w:val="7"/>
          </w:tcPr>
          <w:p>
            <w:pPr>
              <w:ind w:left="320"/>
              <w:spacing w:after="0"/>
              <w:rPr>
                <w:sz w:val="20"/>
                <w:szCs w:val="20"/>
                <w:color w:val="auto"/>
              </w:rPr>
            </w:pPr>
            <w:r>
              <w:rPr>
                <w:rFonts w:ascii="Times New Roman" w:cs="Times New Roman" w:eastAsia="Times New Roman" w:hAnsi="Times New Roman"/>
                <w:sz w:val="11"/>
                <w:szCs w:val="11"/>
                <w:b w:val="1"/>
                <w:bCs w:val="1"/>
                <w:color w:val="auto"/>
              </w:rPr>
              <w:t>$ (thousands)</w:t>
            </w:r>
          </w:p>
        </w:tc>
        <w:tc>
          <w:tcPr>
            <w:tcW w:w="140" w:type="dxa"/>
            <w:vAlign w:val="bottom"/>
          </w:tcPr>
          <w:p>
            <w:pPr>
              <w:spacing w:after="0"/>
              <w:rPr>
                <w:sz w:val="13"/>
                <w:szCs w:val="13"/>
                <w:color w:val="auto"/>
              </w:rPr>
            </w:pPr>
          </w:p>
        </w:tc>
        <w:tc>
          <w:tcPr>
            <w:tcW w:w="11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 of Net Sales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5"/>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 of Net Sales</w:t>
            </w: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Daikin Industries Ltd.</w:t>
            </w:r>
          </w:p>
        </w:tc>
        <w:tc>
          <w:tcPr>
            <w:tcW w:w="3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14,862</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16,365</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Communications</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7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9,017</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5"/>
        </w:trPr>
        <w:tc>
          <w:tcPr>
            <w:tcW w:w="78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Trade receivables associated with this significant customer that totaled more than 10% of our accounts receivable, net was as follows: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gridSpan w:val="10"/>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gridSpan w:val="10"/>
          </w:tcPr>
          <w:p>
            <w:pPr>
              <w:jc w:val="right"/>
              <w:ind w:right="1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 (thousands)</w:t>
            </w:r>
          </w:p>
        </w:tc>
        <w:tc>
          <w:tcPr>
            <w:tcW w:w="154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 of Accounts Receivable, Net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 (thousands)</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 of Accounts Receivable, Net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Daikin Industries Ltd.</w:t>
            </w: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9,226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12.3 %</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Inventories were as follows: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16,325</w:t>
            </w:r>
          </w:p>
        </w:tc>
        <w:tc>
          <w:tcPr>
            <w:tcW w:w="10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18,678</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9,263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9,923</w:t>
            </w:r>
          </w:p>
        </w:tc>
        <w:tc>
          <w:tcPr>
            <w:tcW w:w="0" w:type="dxa"/>
            <w:vAlign w:val="bottom"/>
          </w:tcPr>
          <w:p>
            <w:pPr>
              <w:spacing w:after="0"/>
              <w:rPr>
                <w:sz w:val="1"/>
                <w:szCs w:val="1"/>
                <w:color w:val="auto"/>
              </w:rPr>
            </w:pP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38,179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47,951</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67,994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77,793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Significant Supplier</w:t>
            </w: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3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Purchases from the following supplier totaled more than 10% of our total inventory purchases: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9"/>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98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4"/>
            <w:vMerge w:val="restart"/>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 (thousands)</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5"/>
          </w:tcPr>
          <w:p>
            <w:pPr>
              <w:jc w:val="center"/>
              <w:ind w:left="26"/>
              <w:spacing w:after="0" w:line="104" w:lineRule="exact"/>
              <w:rPr>
                <w:sz w:val="20"/>
                <w:szCs w:val="20"/>
                <w:color w:val="auto"/>
              </w:rPr>
            </w:pPr>
            <w:r>
              <w:rPr>
                <w:rFonts w:ascii="Times New Roman" w:cs="Times New Roman" w:eastAsia="Times New Roman" w:hAnsi="Times New Roman"/>
                <w:sz w:val="11"/>
                <w:szCs w:val="11"/>
                <w:b w:val="1"/>
                <w:bCs w:val="1"/>
                <w:color w:val="auto"/>
              </w:rPr>
              <w:t>% of Total Inventory</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 (thousands)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3"/>
          </w:tcPr>
          <w:p>
            <w:pPr>
              <w:jc w:val="right"/>
              <w:ind w:right="280"/>
              <w:spacing w:after="0" w:line="104" w:lineRule="exact"/>
              <w:rPr>
                <w:sz w:val="20"/>
                <w:szCs w:val="20"/>
                <w:color w:val="auto"/>
              </w:rPr>
            </w:pPr>
            <w:r>
              <w:rPr>
                <w:rFonts w:ascii="Times New Roman" w:cs="Times New Roman" w:eastAsia="Times New Roman" w:hAnsi="Times New Roman"/>
                <w:sz w:val="11"/>
                <w:szCs w:val="11"/>
                <w:b w:val="1"/>
                <w:bCs w:val="1"/>
                <w:color w:val="auto"/>
              </w:rPr>
              <w:t>% of Total Inventory</w:t>
            </w:r>
          </w:p>
        </w:tc>
        <w:tc>
          <w:tcPr>
            <w:tcW w:w="0" w:type="dxa"/>
            <w:vAlign w:val="bottom"/>
          </w:tcPr>
          <w:p>
            <w:pPr>
              <w:spacing w:after="0"/>
              <w:rPr>
                <w:sz w:val="1"/>
                <w:szCs w:val="1"/>
                <w:color w:val="auto"/>
              </w:rPr>
            </w:pPr>
          </w:p>
        </w:tc>
      </w:tr>
      <w:tr>
        <w:trPr>
          <w:trHeight w:val="153"/>
        </w:trPr>
        <w:tc>
          <w:tcPr>
            <w:tcW w:w="44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4"/>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Qorvo International Pte Ltd.</w:t>
            </w: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center"/>
              <w:ind w:left="506"/>
              <w:spacing w:after="0"/>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6"/>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4,649</w:t>
            </w:r>
          </w:p>
        </w:tc>
        <w:tc>
          <w:tcPr>
            <w:tcW w:w="15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20" w:type="dxa"/>
            <w:vAlign w:val="bottom"/>
            <w:gridSpan w:val="3"/>
            <w:vMerge w:val="continue"/>
            <w:shd w:val="clear" w:color="auto" w:fill="CCEEFF"/>
          </w:tcPr>
          <w:p>
            <w:pPr>
              <w:spacing w:after="0"/>
              <w:rPr>
                <w:sz w:val="5"/>
                <w:szCs w:val="5"/>
                <w:color w:val="auto"/>
              </w:rPr>
            </w:pPr>
          </w:p>
        </w:tc>
        <w:tc>
          <w:tcPr>
            <w:tcW w:w="1200" w:type="dxa"/>
            <w:vAlign w:val="bottom"/>
            <w:gridSpan w:val="6"/>
            <w:vMerge w:val="continue"/>
            <w:shd w:val="clear" w:color="auto" w:fill="CCEEFF"/>
          </w:tcPr>
          <w:p>
            <w:pPr>
              <w:spacing w:after="0"/>
              <w:rPr>
                <w:sz w:val="5"/>
                <w:szCs w:val="5"/>
                <w:color w:val="auto"/>
              </w:rPr>
            </w:pPr>
          </w:p>
        </w:tc>
        <w:tc>
          <w:tcPr>
            <w:tcW w:w="1520" w:type="dxa"/>
            <w:vAlign w:val="bottom"/>
            <w:gridSpan w:val="4"/>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00" w:hanging="140"/>
        <w:spacing w:after="0"/>
        <w:tabs>
          <w:tab w:leader="none" w:pos="40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Purchases associated with this supplier did not total more than 10% of our total inventory purchases for the indicated period.</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25"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Long-lived 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Long-lived tangible assets by geographic area, which include property, plant, and equipment, net ("PP&amp;E") and operating lease right-of-use assets,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60" w:type="dxa"/>
            <w:vAlign w:val="bottom"/>
          </w:tcPr>
          <w:p>
            <w:pPr>
              <w:spacing w:after="0"/>
              <w:rPr>
                <w:sz w:val="13"/>
                <w:szCs w:val="13"/>
                <w:color w:val="auto"/>
              </w:rPr>
            </w:pPr>
          </w:p>
        </w:tc>
        <w:tc>
          <w:tcPr>
            <w:tcW w:w="150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5,637</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PRC</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19,935</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Vietnam</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countries</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r>
      <w:tr>
        <w:trPr>
          <w:trHeight w:val="171"/>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long-lived tangible assets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37,419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37,803</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PP&amp;E are shown net of accumulated depreciation of $166.3 million and $163.7 million at March 31, 2026 and December 31, 2025,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was $1.9 million and $2.7 million for the three months ended March 31,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Intangible Assets,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intangible assets, net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7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9"/>
                <w:szCs w:val="9"/>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 xml:space="preserve">Gross </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spacing w:after="0"/>
              <w:rPr>
                <w:sz w:val="9"/>
                <w:szCs w:val="9"/>
                <w:color w:val="auto"/>
              </w:rPr>
            </w:pPr>
          </w:p>
        </w:tc>
        <w:tc>
          <w:tcPr>
            <w:tcW w:w="122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Net</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 xml:space="preserve">Gross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9"/>
                <w:szCs w:val="9"/>
                <w:color w:val="auto"/>
              </w:rPr>
            </w:pPr>
          </w:p>
        </w:tc>
        <w:tc>
          <w:tcPr>
            <w:tcW w:w="126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320" w:type="dxa"/>
            <w:vAlign w:val="bottom"/>
          </w:tcPr>
          <w:p>
            <w:pPr>
              <w:spacing w:after="0"/>
              <w:rPr>
                <w:sz w:val="9"/>
                <w:szCs w:val="9"/>
                <w:color w:val="auto"/>
              </w:rPr>
            </w:pPr>
          </w:p>
        </w:tc>
        <w:tc>
          <w:tcPr>
            <w:tcW w:w="940" w:type="dxa"/>
            <w:vAlign w:val="bottom"/>
            <w:vMerge w:val="restart"/>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9"/>
        </w:trPr>
        <w:tc>
          <w:tcPr>
            <w:tcW w:w="3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 xml:space="preserve">Amortization </w:t>
            </w:r>
            <w:r>
              <w:rPr>
                <w:rFonts w:ascii="Times New Roman" w:cs="Times New Roman" w:eastAsia="Times New Roman" w:hAnsi="Times New Roman"/>
                <w:sz w:val="7"/>
                <w:szCs w:val="7"/>
                <w:b w:val="1"/>
                <w:bCs w:val="1"/>
                <w:color w:val="auto"/>
              </w:rPr>
              <w:t>(1)</w:t>
            </w:r>
          </w:p>
        </w:tc>
        <w:tc>
          <w:tcPr>
            <w:tcW w:w="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 xml:space="preserve">Amortization </w:t>
            </w:r>
            <w:r>
              <w:rPr>
                <w:rFonts w:ascii="Times New Roman" w:cs="Times New Roman" w:eastAsia="Times New Roman" w:hAnsi="Times New Roman"/>
                <w:sz w:val="7"/>
                <w:szCs w:val="7"/>
                <w:b w:val="1"/>
                <w:bCs w:val="1"/>
                <w:color w:val="auto"/>
              </w:rPr>
              <w:t>(1)</w:t>
            </w:r>
          </w:p>
        </w:tc>
        <w:tc>
          <w:tcPr>
            <w:tcW w:w="3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and core technology</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19,614</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43,963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(22,833)</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21,130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500" w:hanging="240"/>
        <w:spacing w:after="0"/>
        <w:tabs>
          <w:tab w:leader="none" w:pos="50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table excludes the gross value of fully amortized intangible assets totaling $52.9 million and $52.5 million at March 31, 2026 and December 31, 2025,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is recorded in selling, general and administrative expenses, except amortization expense related to capitalized software development costs, which is recorded in cost of sales.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by statement of operations caption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7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7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7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27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009"/>
              <w:spacing w:after="0"/>
              <w:rPr>
                <w:sz w:val="20"/>
                <w:szCs w:val="20"/>
                <w:color w:val="auto"/>
              </w:rPr>
            </w:pPr>
            <w:r>
              <w:rPr>
                <w:rFonts w:ascii="Times New Roman" w:cs="Times New Roman" w:eastAsia="Times New Roman" w:hAnsi="Times New Roman"/>
                <w:sz w:val="14"/>
                <w:szCs w:val="14"/>
                <w:color w:val="auto"/>
              </w:rPr>
              <w:t>13</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0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20" w:type="dxa"/>
            <w:vAlign w:val="bottom"/>
          </w:tcPr>
          <w:p>
            <w:pPr>
              <w:jc w:val="center"/>
              <w:ind w:left="1410"/>
              <w:spacing w:after="0"/>
              <w:rPr>
                <w:sz w:val="20"/>
                <w:szCs w:val="20"/>
                <w:color w:val="auto"/>
              </w:rPr>
            </w:pPr>
            <w:r>
              <w:rPr>
                <w:rFonts w:ascii="Times New Roman" w:cs="Times New Roman" w:eastAsia="Times New Roman" w:hAnsi="Times New Roman"/>
                <w:sz w:val="14"/>
                <w:szCs w:val="14"/>
                <w:b w:val="1"/>
                <w:bCs w:val="1"/>
                <w:color w:val="auto"/>
              </w:rPr>
              <w:t>UNIVERSAL ELECTRONICS INC.</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9820" w:type="dxa"/>
            <w:vAlign w:val="bottom"/>
          </w:tcPr>
          <w:p>
            <w:pPr>
              <w:jc w:val="center"/>
              <w:ind w:left="1410"/>
              <w:spacing w:after="0"/>
              <w:rPr>
                <w:sz w:val="20"/>
                <w:szCs w:val="20"/>
                <w:color w:val="auto"/>
              </w:rPr>
            </w:pPr>
            <w:r>
              <w:rPr>
                <w:rFonts w:ascii="Times New Roman" w:cs="Times New Roman" w:eastAsia="Times New Roman" w:hAnsi="Times New Roman"/>
                <w:sz w:val="14"/>
                <w:szCs w:val="14"/>
                <w:b w:val="1"/>
                <w:bCs w:val="1"/>
                <w:color w:val="auto"/>
                <w:w w:val="99"/>
              </w:rPr>
              <w:t>NOTES TO CONSOLIDATED FINANCIAL STATEMENTS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9820" w:type="dxa"/>
            <w:vAlign w:val="bottom"/>
          </w:tcPr>
          <w:p>
            <w:pPr>
              <w:jc w:val="center"/>
              <w:ind w:left="139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6"/>
        </w:trPr>
        <w:tc>
          <w:tcPr>
            <w:tcW w:w="9820" w:type="dxa"/>
            <w:vAlign w:val="bottom"/>
          </w:tcPr>
          <w:p>
            <w:pPr>
              <w:jc w:val="center"/>
              <w:ind w:left="139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499"/>
        </w:trPr>
        <w:tc>
          <w:tcPr>
            <w:tcW w:w="9820" w:type="dxa"/>
            <w:vAlign w:val="bottom"/>
          </w:tcPr>
          <w:p>
            <w:pPr>
              <w:spacing w:after="0"/>
              <w:rPr>
                <w:sz w:val="20"/>
                <w:szCs w:val="20"/>
                <w:color w:val="auto"/>
              </w:rPr>
            </w:pPr>
            <w:r>
              <w:rPr>
                <w:rFonts w:ascii="Times New Roman" w:cs="Times New Roman" w:eastAsia="Times New Roman" w:hAnsi="Times New Roman"/>
                <w:sz w:val="14"/>
                <w:szCs w:val="14"/>
                <w:color w:val="auto"/>
              </w:rPr>
              <w:t>Estimated future annual amortization expense related to our intangible assets at March 31, 2026, was as follows: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4"/>
        </w:trPr>
        <w:tc>
          <w:tcPr>
            <w:tcW w:w="9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(remaining 9 months)</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r>
      <w:tr>
        <w:trPr>
          <w:trHeight w:val="180"/>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w:t>
            </w:r>
          </w:p>
        </w:tc>
      </w:tr>
      <w:tr>
        <w:trPr>
          <w:trHeight w:val="18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w:t>
            </w:r>
          </w:p>
        </w:tc>
      </w:tr>
      <w:tr>
        <w:trPr>
          <w:trHeight w:val="180"/>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r>
      <w:tr>
        <w:trPr>
          <w:trHeight w:val="18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r>
      <w:tr>
        <w:trPr>
          <w:trHeight w:val="180"/>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4,908</w:t>
            </w:r>
          </w:p>
        </w:tc>
      </w:tr>
      <w:tr>
        <w:trPr>
          <w:trHeight w:val="196"/>
        </w:trPr>
        <w:tc>
          <w:tcPr>
            <w:tcW w:w="9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Leases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entered into various operating lease agreements for automobiles, offices and manufacturing facilities throughout the world. At March 31, 2026, our operating leases had remaining lease terms of up to 35 years, including any reasonably probable extensions.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 balances within our consolidated balance sheets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6"/>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2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4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340" w:type="dxa"/>
            <w:vAlign w:val="bottom"/>
            <w:gridSpan w:val="3"/>
          </w:tcPr>
          <w:p>
            <w:pPr>
              <w:jc w:val="center"/>
              <w:ind w:left="8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spacing w:after="0"/>
              <w:rPr>
                <w:sz w:val="15"/>
                <w:szCs w:val="15"/>
                <w:color w:val="auto"/>
              </w:rPr>
            </w:pPr>
          </w:p>
        </w:tc>
        <w:tc>
          <w:tcPr>
            <w:tcW w:w="5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10,909</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Liabilities:</w:t>
            </w: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340" w:type="dxa"/>
            <w:vAlign w:val="bottom"/>
            <w:gridSpan w:val="3"/>
          </w:tcPr>
          <w:p>
            <w:pPr>
              <w:jc w:val="center"/>
              <w:ind w:left="8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spacing w:after="0"/>
              <w:rPr>
                <w:sz w:val="15"/>
                <w:szCs w:val="15"/>
                <w:color w:val="auto"/>
              </w:rPr>
            </w:pPr>
          </w:p>
        </w:tc>
        <w:tc>
          <w:tcPr>
            <w:tcW w:w="5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2,767</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operating lease obligations</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7,276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6,193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7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Total lease liabilities</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10,043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9,406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Operating lease expense, operating lease cash flows and supplemental cash flow information were as follows:</w:t>
            </w: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8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40" w:type="dxa"/>
            <w:vAlign w:val="bottom"/>
            <w:tcBorders>
              <w:bottom w:val="single" w:sz="8" w:color="auto"/>
            </w:tcBorders>
            <w:gridSpan w:val="3"/>
          </w:tcPr>
          <w:p>
            <w:pPr>
              <w:jc w:val="center"/>
              <w:ind w:left="7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6"/>
                <w:szCs w:val="16"/>
                <w:color w:val="auto"/>
              </w:rPr>
            </w:pPr>
          </w:p>
        </w:tc>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lease expense</w:t>
            </w: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expenses from variable and short-term lease costs</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obligations</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weighted average remaining lease liability term and the weighted average discount rate were as follows:</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8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lease liability term (in years)</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5.80 %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undiscounted cash flows for each of the first five years and thereafter to the operating lease liabilities recognized in our consolidated balance sheets at March 31, 2026. The reconciliation excludes short-term leases that are not recorded in our consolidated balance sheets.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6820" w:type="dxa"/>
            <w:vAlign w:val="bottom"/>
            <w:gridSpan w:val="2"/>
          </w:tcPr>
          <w:p>
            <w:pPr>
              <w:jc w:val="center"/>
              <w:ind w:right="809"/>
              <w:spacing w:after="0"/>
              <w:rPr>
                <w:sz w:val="20"/>
                <w:szCs w:val="20"/>
                <w:color w:val="auto"/>
              </w:rPr>
            </w:pPr>
            <w:r>
              <w:rPr>
                <w:rFonts w:ascii="Times New Roman" w:cs="Times New Roman" w:eastAsia="Times New Roman" w:hAnsi="Times New Roman"/>
                <w:sz w:val="14"/>
                <w:szCs w:val="14"/>
                <w:b w:val="1"/>
                <w:bCs w:val="1"/>
                <w:color w:val="auto"/>
              </w:rPr>
              <w:t>UNIVERSAL ELECTRONICS INC.</w:t>
            </w:r>
          </w:p>
        </w:tc>
        <w:tc>
          <w:tcPr>
            <w:tcW w:w="17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6820" w:type="dxa"/>
            <w:vAlign w:val="bottom"/>
            <w:gridSpan w:val="2"/>
          </w:tcPr>
          <w:p>
            <w:pPr>
              <w:jc w:val="center"/>
              <w:ind w:right="809"/>
              <w:spacing w:after="0"/>
              <w:rPr>
                <w:sz w:val="20"/>
                <w:szCs w:val="20"/>
                <w:color w:val="auto"/>
              </w:rPr>
            </w:pPr>
            <w:r>
              <w:rPr>
                <w:rFonts w:ascii="Times New Roman" w:cs="Times New Roman" w:eastAsia="Times New Roman" w:hAnsi="Times New Roman"/>
                <w:sz w:val="14"/>
                <w:szCs w:val="14"/>
                <w:b w:val="1"/>
                <w:bCs w:val="1"/>
                <w:color w:val="auto"/>
                <w:w w:val="99"/>
              </w:rPr>
              <w:t>NOTES TO CONSOLIDATED FINANCIAL STATEMENTS</w:t>
            </w:r>
          </w:p>
        </w:tc>
        <w:tc>
          <w:tcPr>
            <w:tcW w:w="17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6820" w:type="dxa"/>
            <w:vAlign w:val="bottom"/>
            <w:gridSpan w:val="2"/>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80" w:type="dxa"/>
            <w:vAlign w:val="bottom"/>
          </w:tcPr>
          <w:p>
            <w:pPr>
              <w:spacing w:after="0"/>
              <w:rPr>
                <w:sz w:val="14"/>
                <w:szCs w:val="14"/>
                <w:color w:val="auto"/>
              </w:rPr>
            </w:pPr>
          </w:p>
        </w:tc>
      </w:tr>
      <w:tr>
        <w:trPr>
          <w:trHeight w:val="186"/>
        </w:trPr>
        <w:tc>
          <w:tcPr>
            <w:tcW w:w="2680" w:type="dxa"/>
            <w:vAlign w:val="bottom"/>
          </w:tcPr>
          <w:p>
            <w:pPr>
              <w:spacing w:after="0"/>
              <w:rPr>
                <w:sz w:val="16"/>
                <w:szCs w:val="16"/>
                <w:color w:val="auto"/>
              </w:rPr>
            </w:pPr>
          </w:p>
        </w:tc>
        <w:tc>
          <w:tcPr>
            <w:tcW w:w="6820" w:type="dxa"/>
            <w:vAlign w:val="bottom"/>
            <w:gridSpan w:val="2"/>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780" w:type="dxa"/>
            <w:vAlign w:val="bottom"/>
          </w:tcPr>
          <w:p>
            <w:pPr>
              <w:spacing w:after="0"/>
              <w:rPr>
                <w:sz w:val="16"/>
                <w:szCs w:val="16"/>
                <w:color w:val="auto"/>
              </w:rPr>
            </w:pPr>
          </w:p>
        </w:tc>
      </w:tr>
      <w:tr>
        <w:trPr>
          <w:trHeight w:val="50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(remaining 9 months)</w:t>
            </w:r>
          </w:p>
        </w:tc>
        <w:tc>
          <w:tcPr>
            <w:tcW w:w="64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6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r>
      <w:tr>
        <w:trPr>
          <w:trHeight w:val="18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4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w:t>
            </w:r>
          </w:p>
        </w:tc>
      </w:tr>
      <w:tr>
        <w:trPr>
          <w:trHeight w:val="171"/>
        </w:trPr>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lease payments</w:t>
            </w:r>
          </w:p>
        </w:tc>
        <w:tc>
          <w:tcPr>
            <w:tcW w:w="6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11,963</w:t>
            </w:r>
          </w:p>
        </w:tc>
      </w:tr>
      <w:tr>
        <w:trPr>
          <w:trHeight w:val="18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64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w:t>
            </w:r>
          </w:p>
        </w:tc>
      </w:tr>
      <w:tr>
        <w:trPr>
          <w:trHeight w:val="196"/>
        </w:trPr>
        <w:tc>
          <w:tcPr>
            <w:tcW w:w="2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lease liabilities</w:t>
            </w:r>
          </w:p>
        </w:tc>
        <w:tc>
          <w:tcPr>
            <w:tcW w:w="6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2026, we did not have any operating leases that had not yet commenced.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Lines of Credit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Line of Credit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Second Amended and Restated Credit Agreement, as amended ("Second Amended Credit Agreement") with U.S. Bank National Association ("U.S. Bank") provides for a revolving line of credit ("U.S. Credit Line") through September 30, 2027. The U.S. Credit Line may be used for working capital and other general corporate purposes including acquisitions, share repurchases and capital expenditures.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U.S. Credit Line has a maximum availability of up to $60.0 million, subject to meeting certain financial conditions. Availability is based on "Borrowing Base", which is defined as 75% of accounts receivable aged less than 90 days less reserves for doubtful accounts and returns. The Borrowing Base is calculated monthly. At March 31, 2026, the U.S. Credit Line total availability was $47.9 million. At May 7, 2026, the U.S. Credit Line total availability was $41.1 million.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available for borrowing under the U.S. Credit Line are reduced by the balance of any outstanding letters of credit, of which there was $1.9 million at March 31, 2026 and $0.5 million at December 31, 2025.</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obligations under the U.S. Credit Line are secured by substantially all of our U.S. personal property and tangible and intangible assets, as well as a guaranty of the U.S. Credit Line by our wholly-owned subsidiary, Universal Electronics BV.</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Second Amended Credit Agreement, we pay interest on the U.S. Credit Line based on the Secured Overnight Financing Rate ("SOFR") plus a 3.00% margin. The Second Amended Credit Agreement also contains a facility fee of 0.25%. The interest rates in effect at March 31, 2026 and December 31, 2025 were 6.62% and 6.65%, respectively.</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Second Amended Credit Agreement includes financial covenants and contains other customary affirmative and negative covenants and events of default. Our covenants are based upon a minimum fixed charge coverage ratio and a maximum cash flow leverage ratio. We were in compliance with the covenants and conditions of the Second Amended Credit Agreement at March 31, 2026.</w:t>
      </w:r>
    </w:p>
    <w:p>
      <w:pPr>
        <w:spacing w:after="0" w:line="3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11, 2026, the Company entered into a Twelfth Amendment (the "Twelfth Amendment") to the Second Amended Credit Agreement with U.S. Bank. The Twelfth Amendment increases the limit on Restricted Payments (as defined in the Second Amended Credit Agreement) from $4.0 million to $8.0 million. All other provisions of the Second Amended Credit agreement remain substantially the same.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March 31, 2026 and December 31, 2025, we had $4.4 million and $5.5 million outstanding under the U.S. Credit Line, respectively. At March 31, 2026, our remaining availability under our U.S. Credit Line was $41.6 million. Our total interest expense on borrowings under the U.S. Credit Line was $0.2 million and $0.6 million during the three months ended March 31, 2026 and 2025, respectively. Our total facility fee expense under the U.S. Credit Line was $38 thousand and $49 thousand during the three months ended March 31, 2026 and 2025,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China Line of Credit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2024, our subsidiary, Gemstar Technology (Yangzhou) Co. Ltd. ("GTY"), executed a Line of Credit Agreement (the "Line of Credit Agreement") with the Bank of China, which provides for a revolving line of credit (the "China Credit Line"). As a continuation of the agreement, on July 30, 2025, we executed an amendment to the Line of Credit Agreement, which extends the term of the China Credit Line to July 16, 2026. We expect to renew our China Credit Line prior to its expiration; however, no assurance can be given that future financing will be available or, if available, that we will be offered terms satisfactory to us. The China Credit Line may be used for working capital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China Credit Line had a maximum availability of up to RMB 130.0 million (approximately $18.8 million), subject to meeting certain financial conditions.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available for borrowing under the China Credit Line are reduced by the balance of any outstanding letters of credit, of which there were none at March 31, 2026 and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obligations under the China Credit Line are secured by GTY's buildings and land use rights.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Line of Credit Agreement, we pay interest on the China Credit Line based on the one-year rate from the National Interbank Funding Center less a 0.1% margin. There are no associated commitment fees on the China Credit Line. The interest rates in effect at March 31, 2026 and December 31, 2025 were 2.90% and 2.92%, respectively.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three months ended March 31, 2026.</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March 31, 2026 and December 31, 2025, we had RMB 130.0 million (approximately $18.8 million) and RMB 130.0 million (approximately $18.8 million), respectively, outstanding under the China Credit Line. At March 31, 2026, we had no remaining availability under our China Credit Line. Our total interest expense on borrowings under the China Credit Line was RMB 0.9 million (approximately $0.1 million) and RMB 0.6 million (approximately $0.1 million) during the three months ended March 31, 2026 and 2025,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Income Taxes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recorded income tax expense of $3.6 million and $2.2 million for the three months ended March 31, 2026 and 2025, respectively. The difference between the Company’s effective tax rate and the 21.0% U.S. federal statutory rate for the three months ended March 31, 2026 primarily related to the mix of pre-tax income and loss among jurisdictions and permanent tax items including a tax on net controlled foreign corporation tested income. The Company's income tax provision can be affected by other factors, including changes in tax laws and regulations in the jurisdictions in which we operate, changes in the valuation allowances on deferred tax assets, and other discrete items.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At December 31, 2025,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income in making this assessment. At December 31, 2025, we had a three-year world wide cumulative pre-tax loss and have accordingly provided a full valuation allowance on our U.S. federal and state deferred tax assets and on certain foreign deferred tax assets. During the three months ended March 31, 2026, there was no change to our valuation allowance position.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Uncertain Tax Positions</w:t>
      </w:r>
    </w:p>
    <w:p>
      <w:pPr>
        <w:spacing w:after="0" w:line="202"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4"/>
          <w:szCs w:val="14"/>
          <w:color w:val="auto"/>
        </w:rPr>
        <w:t>At March 31, 2026, we had gross unrecognized tax benefits of approximately $3.7 million including interest and penalties, which, if not for the valuation allowance recorded against the state Research and Experimentation income tax credit, would affect the annual effective tax rate if the tax benefits are realized. We have classified uncertain tax positions as non-current income tax liabilities unless they are expected to be paid within one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penalties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have elected to classify interest and penalties as a component of tax expense. Accrued interest and penalties are immaterial at March 31, 2026 and December 31, 2025 and are included in the unrecognized tax benefits.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Enactment of H.R.1</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July 4, 2025, H.R. 1, commonly referred to as the One Big Beautiful Bill Act, was enacted in the United States H.R. 1 includes significant provisions, including the permanent extension of certain expiring provisions of the Tax Cuts and Jobs Act of 2017, modifications to the U.S. international tax framework, and the restoration of favorable tax treatment for certain business provisions. This legislation has multiple effective dates, with certain provisions that became effective in 2025 and others to be implemented in 2026 and 2027. Due to the U.S. valuation allowance position, the legislation is not expected to have a material impact on the Company's estimated annual effective tax rate or cash tax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Accrued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accrued compensation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60" w:type="dxa"/>
            <w:vAlign w:val="bottom"/>
          </w:tcPr>
          <w:p>
            <w:pPr>
              <w:spacing w:after="0"/>
              <w:rPr>
                <w:sz w:val="13"/>
                <w:szCs w:val="13"/>
                <w:color w:val="auto"/>
              </w:rPr>
            </w:pPr>
          </w:p>
        </w:tc>
        <w:tc>
          <w:tcPr>
            <w:tcW w:w="150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commission</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180"/>
        </w:trPr>
        <w:tc>
          <w:tcPr>
            <w:tcW w:w="7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Accrued salary/wages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r>
      <w:tr>
        <w:trPr>
          <w:trHeight w:val="180"/>
        </w:trPr>
        <w:tc>
          <w:tcPr>
            <w:tcW w:w="76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Accrued social insurance </w:t>
            </w:r>
            <w:r>
              <w:rPr>
                <w:rFonts w:ascii="Times New Roman" w:cs="Times New Roman" w:eastAsia="Times New Roman" w:hAnsi="Times New Roman"/>
                <w:sz w:val="18"/>
                <w:szCs w:val="18"/>
                <w:color w:val="auto"/>
                <w:vertAlign w:val="superscript"/>
              </w:rPr>
              <w:t>(2)</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vacation/holiday</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compensation</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w:t>
            </w:r>
          </w:p>
        </w:tc>
      </w:tr>
      <w:tr>
        <w:trPr>
          <w:trHeight w:val="196"/>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accrued compensation</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20" w:hanging="260"/>
        <w:spacing w:after="0" w:line="230" w:lineRule="auto"/>
        <w:tabs>
          <w:tab w:leader="none" w:pos="51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year ended December 31, 2025, this includes $0.8 million of accrued severance expenses related to our 2025 restructuring plan and global reduction in force. For the three months ended March 31, 2026, this includes $0.2 million of accrued severance expenses related to our 2025 restructuring plan and global reduction in force.</w:t>
      </w:r>
    </w:p>
    <w:p>
      <w:pPr>
        <w:spacing w:after="0" w:line="29" w:lineRule="exact"/>
        <w:rPr>
          <w:rFonts w:ascii="Times New Roman" w:cs="Times New Roman" w:eastAsia="Times New Roman" w:hAnsi="Times New Roman"/>
          <w:sz w:val="18"/>
          <w:szCs w:val="18"/>
          <w:color w:val="auto"/>
          <w:vertAlign w:val="superscript"/>
        </w:rPr>
      </w:pPr>
    </w:p>
    <w:p>
      <w:pPr>
        <w:jc w:val="both"/>
        <w:ind w:left="520" w:hanging="260"/>
        <w:spacing w:after="0" w:line="237" w:lineRule="auto"/>
        <w:tabs>
          <w:tab w:leader="none" w:pos="51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Other Accrued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other accrued liabilities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20" w:type="dxa"/>
            <w:vAlign w:val="bottom"/>
          </w:tcPr>
          <w:p>
            <w:pPr>
              <w:spacing w:after="0"/>
              <w:rPr>
                <w:sz w:val="13"/>
                <w:szCs w:val="13"/>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Duties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 associated with fulfilled performance obligations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Freight and handling fees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9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Legal judgment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warranty claims costs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value added taxes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r>
      <w:tr>
        <w:trPr>
          <w:trHeight w:val="180"/>
        </w:trPr>
        <w:tc>
          <w:tcPr>
            <w:tcW w:w="7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r>
      <w:tr>
        <w:trPr>
          <w:trHeight w:val="171"/>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other accrued liabilities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20,134</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amount relates to the judgment of a lawsuit with an employment agency in the PRC. See Note 12 for further information related to this matter.</w:t>
      </w:r>
    </w:p>
    <w:p>
      <w:pPr>
        <w:spacing w:after="0" w:line="66" w:lineRule="exact"/>
        <w:rPr>
          <w:rFonts w:ascii="Times New Roman" w:cs="Times New Roman" w:eastAsia="Times New Roman" w:hAnsi="Times New Roman"/>
          <w:sz w:val="18"/>
          <w:szCs w:val="18"/>
          <w:color w:val="auto"/>
          <w:vertAlign w:val="superscript"/>
        </w:rPr>
      </w:pPr>
    </w:p>
    <w:p>
      <w:pPr>
        <w:ind w:left="500" w:hanging="240"/>
        <w:spacing w:after="0" w:line="206" w:lineRule="auto"/>
        <w:tabs>
          <w:tab w:leader="none" w:pos="5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$0.3 million and $0.2 million at March 31, 2026 and December 31, 2025, respectively, associated with the purchase of property, plant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Commitments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have entered into various inventory and property, plant and equipment related purchase agreements with suppliers. Certain of these agreements have provisions for a binding forecast (inventory) or non-cancellable purchase orders (inventory and PP&amp;E).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non-cancellable purchase commitments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60" w:type="dxa"/>
            <w:vAlign w:val="bottom"/>
          </w:tcPr>
          <w:p>
            <w:pPr>
              <w:spacing w:after="0"/>
              <w:rPr>
                <w:sz w:val="13"/>
                <w:szCs w:val="13"/>
                <w:color w:val="auto"/>
              </w:rPr>
            </w:pPr>
          </w:p>
        </w:tc>
        <w:tc>
          <w:tcPr>
            <w:tcW w:w="150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 purchase commitments</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PP&amp;E purchase commitments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96"/>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amounts are expected to be paid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Warranties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liability for product warranty claims costs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(reductions) to costs and expenses</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(in cash or in kind)</w:t>
            </w: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Activities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2024, we downsized our factory in Mexico due to decreased demand in the U.S. market and our Vietnam facility's ability to supply our North American customers. and in 2025, we ultimately ceased production activities and wound down the factory in Mexico. We have recognized a cumulative total of $4.2 million in factory restructuring charges in connection with the wind down of our Mexico manufacturing facility, and we do not expect to incur additional factory restructuring charges in connection with this shutdown.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Restructuring liabilities are included in accrued compensation, accounts payable and other accrued liabilities on our consolidated balance sheets. Ending balances for these restructuring liabilities were $0.2 million at March 31, 2026 and $0.4 million at December 31,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Roku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UEI and Roku Inc. ("Roku") and certain of its customers have been in litigation in various forums since 2018—i.e.,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 w:cs="Times New Roman" w:eastAsia="Times New Roman" w:hAnsi="Times New Roman"/>
          <w:sz w:val="14"/>
          <w:szCs w:val="14"/>
          <w:i w:val="1"/>
          <w:iCs w:val="1"/>
          <w:color w:val="auto"/>
        </w:rPr>
        <w:t>ex parte</w:t>
      </w:r>
      <w:r>
        <w:rPr>
          <w:rFonts w:ascii="Times New Roman" w:cs="Times New Roman" w:eastAsia="Times New Roman" w:hAnsi="Times New Roman"/>
          <w:sz w:val="14"/>
          <w:szCs w:val="14"/>
          <w:color w:val="auto"/>
        </w:rPr>
        <w:t xml:space="preserve"> reexams) and the Patent and Trademark Appeals Board ("PTAB"). The CDCA cases were all stayed on various grounds. The 2018 case was stayed in November 2019 pending resolution of Roku-initiated PTO and PTAB matters, all of which have since been resolved.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2020 case was also immediately stayed due to UEI's related ITC action against Roku, in which UEI ultimately prevailed when in July 2021, the Administrative Law Judge ("ALJ") issued an initial determination finding Roku in violation of Section 337. The Commission issued a final determination in November 2021, affirming the ALJ’s finding. The Commission then issued a limited exclusion order and cease and desist order against Roku, which went into effect following the expiration of the Presidential Review Period in January 2022. The Federal Circuit affirmed in January 2024. Following UEI's win and affirmance by the Federal Circuit, Roku sought rehearing </w:t>
      </w:r>
      <w:r>
        <w:rPr>
          <w:rFonts w:ascii="Times New Roman" w:cs="Times New Roman" w:eastAsia="Times New Roman" w:hAnsi="Times New Roman"/>
          <w:sz w:val="14"/>
          <w:szCs w:val="14"/>
          <w:i w:val="1"/>
          <w:iCs w:val="1"/>
          <w:color w:val="auto"/>
        </w:rPr>
        <w:t>en banc</w:t>
      </w:r>
      <w:r>
        <w:rPr>
          <w:rFonts w:ascii="Times New Roman" w:cs="Times New Roman" w:eastAsia="Times New Roman" w:hAnsi="Times New Roman"/>
          <w:sz w:val="14"/>
          <w:szCs w:val="14"/>
          <w:color w:val="auto"/>
        </w:rPr>
        <w:t xml:space="preserve"> and sought cert from the Supreme Court on a domestic industry question. In January 2025, the Supreme Court denied cert.</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this ITC matter has been finally resolved and Roku has no more ability to appeal, we agreed to continue the stay of the CDCA cases pending the outcome of one final PTAB action involving one of our patents. UEI and Roku participated in a hearing in July 2025 regarding the consolidation of the 2018 and 2020 cases, the stay of the cases, and amending the claims that UEI would be allowed to move forward with a consolidated case by the court if unstayed. On July 29, 2025 the Judge issued an order lifting the stay, consolidating the cases and allowing UEI to move forward on 25 claims in the case. O</w:t>
      </w:r>
      <w:r>
        <w:rPr>
          <w:rFonts w:ascii="Times New Roman" w:cs="Times New Roman" w:eastAsia="Times New Roman" w:hAnsi="Times New Roman"/>
          <w:sz w:val="14"/>
          <w:szCs w:val="14"/>
          <w:color w:val="212121"/>
        </w:rPr>
        <w:t>n September 4, 2025, the Court set various dates and deadlines for the case, including a trial date of March 16, 2027. On December 15, 2025, UEI filed a second amended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121"/>
        </w:rPr>
        <w:t>complaint in the consolidated case.</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Roku also filed its own retaliatory ITC action against UEI and certain of our customers on two patents it purchased for this purpose. Roku’s action failed when in June 2022, the ALJ found one of Roku’s patents to be invalid as indefinite. Thereafter, in June 2022, the ALJ issued its initial determination ("ID") fully exonerating us and our customers, finding Roku’s second patent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invalid and that Roku failed to establish the requisite domestic industry and thus no violation of the Tariff Act. Roku and UEI filed petitions to appeal certain portions of the ID. In October 2022, the full ITC issued its final determination affirming the ID, ruling there was no violation of the Tariff Act and terminating the investigation. In December 2022, Roku filed an appeal. Further, in October 2023, the PTAB issued its Final Written Decision invalidating all of Roku's infringement claims. Roku also filed an appeal of this decision. On June 17, 2025, the Federal Circuit affirmed the PTAB decision that invalidated the Roku patent and also remanded the case to the PTAB with respect to one remaining claim. On January 21, 2026, the PTAB issued a ruling invalidating the remaining claim, and thus all claims of both asserted patents have been invalidated. As a companion to its ITC request, on April 8, 2021, Roku also filed a lawsuit against us in Federal CDCA alleging that we are infringing the same two patents they alleged were infringed in the ITC investigation explained above. On February 27, 2026, Roku voluntarily dismissed this District Court case.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Court of International Trade Action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18, 2026, we filed a complaint in the Court of International Trade (the "CIT") against the United States of America, U.S. Customs &amp; Border Protection and Rodney S. Scott, U.S. Customs</w:t>
      </w:r>
    </w:p>
    <w:p>
      <w:pPr>
        <w:spacing w:after="0" w:line="23" w:lineRule="exact"/>
        <w:rPr>
          <w:sz w:val="20"/>
          <w:szCs w:val="20"/>
          <w:color w:val="auto"/>
        </w:rPr>
      </w:pPr>
    </w:p>
    <w:p>
      <w:pPr>
        <w:ind w:firstLine="5"/>
        <w:spacing w:after="0" w:line="266" w:lineRule="auto"/>
        <w:tabs>
          <w:tab w:leader="none" w:pos="15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Border Protection Commissioner, challenging both the substantive and procedural processes related to instituting tariffs under the International Emergency Economic Powers Act (“IEEPA”) and seeking declaratory and permanent injunctive relief related to refunding of all IEEPA duties paid by UEI.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Litigation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6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Treasury Stock</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From time to time, our Board of Directors authorizes management to repurchase shares of our issued and outstanding common stock. On October 26, 2023, our Board of Directors approved a share repurchase program with an effective date of November 7, 2023 (as subsequently amended, the "Share Repurchase Program"). Pursuant to the Share Repurchase Program, we are authorized to repurchase up to 1,000,000 shares of our common stock and to date, we have repurchased 986,444 shares of our common stock. On March 11, 2026, the Board of Directors authorized an amendment to the Share Repurchase Program to authorize the repurchase, from time to time, of up to an additional 1,000,000 shares of the Company's outstanding common stock, or a total of 1,013,556 shares (including the 13,556 shares remaining available under the prior Board authorization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 We also repurchase shares of our issued and outstanding common stock to satisfy income tax withholding obligations relating to the stock-based compensation of our employees and directors and/or the cost of stock option exercises. There have been no shares repurchased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Repurchased shares of our common stock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 market shares repurchased</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related shares repurchased</w:t>
            </w:r>
          </w:p>
        </w:tc>
        <w:tc>
          <w:tcPr>
            <w:tcW w:w="400" w:type="dxa"/>
            <w:vAlign w:val="bottom"/>
          </w:tcPr>
          <w:p>
            <w:pPr>
              <w:spacing w:after="0"/>
              <w:rPr>
                <w:sz w:val="15"/>
                <w:szCs w:val="15"/>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6"/>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shares repurchased</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open market shares repurchased</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stock-based compensation related shares repurchased</w:t>
            </w:r>
          </w:p>
        </w:tc>
        <w:tc>
          <w:tcPr>
            <w:tcW w:w="400" w:type="dxa"/>
            <w:vAlign w:val="bottom"/>
          </w:tcPr>
          <w:p>
            <w:pPr>
              <w:spacing w:after="0"/>
              <w:rPr>
                <w:sz w:val="15"/>
                <w:szCs w:val="15"/>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196"/>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shares repurchased</w:t>
            </w: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Repurchased shares are recorded as shares held in treasury at cost. We hold these shares for future use as management and the Board of Directors deem appropriate.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Stock-Based Compensation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r>
      <w:tr>
        <w:trPr>
          <w:trHeight w:val="17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6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tcPr>
          <w:p>
            <w:pPr>
              <w:spacing w:after="0"/>
              <w:rPr>
                <w:sz w:val="15"/>
                <w:szCs w:val="15"/>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Employees</w:t>
            </w:r>
          </w:p>
        </w:tc>
        <w:tc>
          <w:tcPr>
            <w:tcW w:w="6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20" w:type="dxa"/>
            <w:vAlign w:val="bottom"/>
          </w:tcPr>
          <w:p>
            <w:pPr>
              <w:spacing w:after="0"/>
              <w:rPr>
                <w:sz w:val="15"/>
                <w:szCs w:val="15"/>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Outside directors</w:t>
            </w:r>
          </w:p>
        </w:tc>
        <w:tc>
          <w:tcPr>
            <w:tcW w:w="6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employee and director stock-based compensation expense</w:t>
            </w: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20" w:type="dxa"/>
            <w:vAlign w:val="bottom"/>
            <w:tcBorders>
              <w:bottom w:val="single" w:sz="8" w:color="auto"/>
            </w:tcBorders>
          </w:tcPr>
          <w:p>
            <w:pPr>
              <w:spacing w:after="0"/>
              <w:rPr>
                <w:sz w:val="14"/>
                <w:szCs w:val="14"/>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shd w:val="clear" w:color="auto" w:fill="CCEEFF"/>
          </w:tcPr>
          <w:p>
            <w:pPr>
              <w:spacing w:after="0"/>
              <w:rPr>
                <w:sz w:val="14"/>
                <w:szCs w:val="14"/>
                <w:color w:val="auto"/>
              </w:rPr>
            </w:pPr>
          </w:p>
        </w:tc>
      </w:tr>
      <w:tr>
        <w:trPr>
          <w:trHeight w:val="424"/>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w:t>
            </w: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Non-vested restricted stock award activity was as follows:</w:t>
            </w: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6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40" w:type="dxa"/>
            <w:vAlign w:val="bottom"/>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r>
      <w:tr>
        <w:trPr>
          <w:trHeight w:val="153"/>
        </w:trPr>
        <w:tc>
          <w:tcPr>
            <w:tcW w:w="6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w w:val="94"/>
              </w:rPr>
              <w:t>Value</w:t>
            </w:r>
          </w:p>
        </w:tc>
      </w:tr>
      <w:tr>
        <w:trPr>
          <w:trHeight w:val="175"/>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2025</w:t>
            </w:r>
          </w:p>
        </w:tc>
        <w:tc>
          <w:tcPr>
            <w:tcW w:w="6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0" w:type="dxa"/>
            <w:vAlign w:val="bottom"/>
          </w:tcPr>
          <w:p>
            <w:pPr>
              <w:spacing w:after="0"/>
              <w:rPr>
                <w:sz w:val="15"/>
                <w:szCs w:val="15"/>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6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20" w:type="dxa"/>
            <w:vAlign w:val="bottom"/>
          </w:tcPr>
          <w:p>
            <w:pPr>
              <w:spacing w:after="0"/>
              <w:rPr>
                <w:sz w:val="15"/>
                <w:szCs w:val="15"/>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20" w:type="dxa"/>
            <w:vAlign w:val="bottom"/>
          </w:tcPr>
          <w:p>
            <w:pPr>
              <w:spacing w:after="0"/>
              <w:rPr>
                <w:sz w:val="15"/>
                <w:szCs w:val="15"/>
                <w:color w:val="auto"/>
              </w:rPr>
            </w:pP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March 31, 2026</w:t>
            </w:r>
          </w:p>
        </w:tc>
        <w:tc>
          <w:tcPr>
            <w:tcW w:w="6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64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0" w:type="dxa"/>
            <w:vAlign w:val="bottom"/>
          </w:tcPr>
          <w:p>
            <w:pPr>
              <w:spacing w:after="0"/>
              <w:rPr>
                <w:sz w:val="16"/>
                <w:szCs w:val="16"/>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2026, we expect to recognize $1.8 million of total unrecognized pre-tax stock-based compensation expense related to non-vested restricted stock awards over a weighted-average life of 1.4 years.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performance stock award activity was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60" w:type="dxa"/>
            <w:vAlign w:val="bottom"/>
            <w:gridSpan w:val="2"/>
          </w:tcPr>
          <w:p>
            <w:pPr>
              <w:jc w:val="center"/>
              <w:ind w:left="21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r>
      <w:tr>
        <w:trPr>
          <w:trHeight w:val="153"/>
        </w:trPr>
        <w:tc>
          <w:tcPr>
            <w:tcW w:w="6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gridSpan w:val="2"/>
          </w:tcPr>
          <w:p>
            <w:pPr>
              <w:jc w:val="center"/>
              <w:ind w:left="21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75"/>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2025</w:t>
            </w:r>
          </w:p>
        </w:tc>
        <w:tc>
          <w:tcPr>
            <w:tcW w:w="8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0" w:type="dxa"/>
            <w:vAlign w:val="bottom"/>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8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8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tcPr>
          <w:p>
            <w:pPr>
              <w:spacing w:after="0"/>
              <w:rPr>
                <w:sz w:val="15"/>
                <w:szCs w:val="15"/>
                <w:color w:val="auto"/>
              </w:rPr>
            </w:pP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March 31, 2026</w:t>
            </w:r>
          </w:p>
        </w:tc>
        <w:tc>
          <w:tcPr>
            <w:tcW w:w="8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600" w:type="dxa"/>
            <w:vAlign w:val="bottom"/>
            <w:tcBorders>
              <w:bottom w:val="single" w:sz="8" w:color="CCEEFF"/>
            </w:tcBorders>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tcPr>
          <w:p>
            <w:pPr>
              <w:spacing w:after="0"/>
              <w:rPr>
                <w:sz w:val="16"/>
                <w:szCs w:val="16"/>
                <w:color w:val="auto"/>
              </w:rPr>
            </w:pPr>
          </w:p>
        </w:tc>
      </w:tr>
      <w:tr>
        <w:trPr>
          <w:trHeight w:val="20"/>
        </w:trPr>
        <w:tc>
          <w:tcPr>
            <w:tcW w:w="74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7"/>
        </w:trPr>
        <w:tc>
          <w:tcPr>
            <w:tcW w:w="93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assumptions we utilized in the Monte Carlo simulation model and the resulting weighted average fair value of performance stock grants were the following:</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6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4"/>
        </w:trPr>
        <w:tc>
          <w:tcPr>
            <w:tcW w:w="66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r>
      <w:tr>
        <w:trPr>
          <w:trHeight w:val="17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fair value of grants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00" w:type="dxa"/>
            <w:vAlign w:val="bottom"/>
          </w:tcPr>
          <w:p>
            <w:pPr>
              <w:spacing w:after="0"/>
              <w:rPr>
                <w:sz w:val="15"/>
                <w:szCs w:val="15"/>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8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2026, we expect to recognize $0.9 million of total unrecognized pre-tax stock-based compensation expense related to non-vested performance stock awards over a weighted-average period of 2.3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option activity was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1380" w:type="dxa"/>
            <w:vAlign w:val="bottom"/>
            <w:vMerge w:val="restart"/>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100" w:type="dxa"/>
            <w:vAlign w:val="bottom"/>
          </w:tcPr>
          <w:p>
            <w:pPr>
              <w:spacing w:after="0"/>
              <w:rPr>
                <w:sz w:val="10"/>
                <w:szCs w:val="10"/>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4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Remaining Contractual</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c>
          <w:tcPr>
            <w:tcW w:w="0" w:type="dxa"/>
            <w:vAlign w:val="bottom"/>
          </w:tcPr>
          <w:p>
            <w:pPr>
              <w:spacing w:after="0"/>
              <w:rPr>
                <w:sz w:val="1"/>
                <w:szCs w:val="1"/>
                <w:color w:val="auto"/>
              </w:rPr>
            </w:pPr>
          </w:p>
        </w:tc>
      </w:tr>
      <w:tr>
        <w:trPr>
          <w:trHeight w:val="115"/>
        </w:trPr>
        <w:tc>
          <w:tcPr>
            <w:tcW w:w="54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4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220" w:type="dxa"/>
            <w:vAlign w:val="bottom"/>
          </w:tcPr>
          <w:p>
            <w:pPr>
              <w:spacing w:after="0"/>
              <w:rPr>
                <w:sz w:val="13"/>
                <w:szCs w:val="13"/>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75"/>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Outstanding at March 31, 2026 </w:t>
            </w:r>
            <w:r>
              <w:rPr>
                <w:rFonts w:ascii="Times New Roman" w:cs="Times New Roman" w:eastAsia="Times New Roman" w:hAnsi="Times New Roman"/>
                <w:sz w:val="18"/>
                <w:szCs w:val="18"/>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line="182" w:lineRule="exact"/>
              <w:rPr>
                <w:sz w:val="20"/>
                <w:szCs w:val="20"/>
                <w:color w:val="auto"/>
              </w:rPr>
            </w:pPr>
            <w:r>
              <w:rPr>
                <w:rFonts w:ascii="Times New Roman" w:cs="Times New Roman" w:eastAsia="Times New Roman" w:hAnsi="Times New Roman"/>
                <w:sz w:val="14"/>
                <w:szCs w:val="14"/>
                <w:color w:val="auto"/>
              </w:rPr>
              <w:t xml:space="preserve">Vested and expected to vest at March 31, 2026 </w:t>
            </w:r>
            <w:r>
              <w:rPr>
                <w:rFonts w:ascii="Times New Roman" w:cs="Times New Roman" w:eastAsia="Times New Roman" w:hAnsi="Times New Roman"/>
                <w:sz w:val="18"/>
                <w:szCs w:val="18"/>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3"/>
        </w:trPr>
        <w:tc>
          <w:tcPr>
            <w:tcW w:w="5460" w:type="dxa"/>
            <w:vAlign w:val="bottom"/>
            <w:vMerge w:val="continue"/>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734</w:t>
            </w:r>
          </w:p>
        </w:tc>
        <w:tc>
          <w:tcPr>
            <w:tcW w:w="4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Exercisable at March 31, 2026 </w:t>
            </w:r>
            <w:r>
              <w:rPr>
                <w:rFonts w:ascii="Times New Roman" w:cs="Times New Roman" w:eastAsia="Times New Roman" w:hAnsi="Times New Roman"/>
                <w:sz w:val="18"/>
                <w:szCs w:val="18"/>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520" w:hanging="260"/>
        <w:spacing w:after="0" w:line="237" w:lineRule="auto"/>
        <w:tabs>
          <w:tab w:leader="none" w:pos="51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aggregate intrinsic value represents the total pre-tax value (the difference between our closing stock price on the last trading day of the first quarter of 2026 and the exercise price, multiplied by the number of in-the-money options) that would have been received by the option holders had they all exercised their options on March 31, 2026. This amount will change based on the fair market value of our stock.</w:t>
      </w:r>
    </w:p>
    <w:p>
      <w:pPr>
        <w:spacing w:after="0" w:line="1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March 31, 2026, we expect to recognize $0.4 million of total unrecognized pre-tax stock-based compensation expense related to non-vested stock options over a remaining weighted-average life of 2.7 years.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Other Income (Expense), Net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three months ended March 31, 2025, in order to collect an open accounts receivable balance with an Argentine customer, we purchased $1.3 million and sold $1.1 million of BCS securities and incurred a loss on the transactions of $0.2 million which is recorded in other income (expense) on our consolidated statements of operations. There has been no activity for the three months ended March 31,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r>
      <w:tr>
        <w:trPr>
          <w:trHeight w:val="15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7"/>
        </w:trPr>
        <w:tc>
          <w:tcPr>
            <w:tcW w:w="680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Net gain (loss) on foreign currency exchange contracts </w:t>
            </w:r>
            <w:r>
              <w:rPr>
                <w:rFonts w:ascii="Times New Roman" w:cs="Times New Roman" w:eastAsia="Times New Roman" w:hAnsi="Times New Roman"/>
                <w:sz w:val="18"/>
                <w:szCs w:val="18"/>
                <w:color w:val="auto"/>
                <w:vertAlign w:val="superscript"/>
              </w:rPr>
              <w:t>(1)</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center"/>
              <w:ind w:left="1254"/>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(loss) on foreign currency exchange transactions</w:t>
            </w:r>
          </w:p>
        </w:tc>
        <w:tc>
          <w:tcPr>
            <w:tcW w:w="540" w:type="dxa"/>
            <w:vAlign w:val="bottom"/>
          </w:tcPr>
          <w:p>
            <w:pPr>
              <w:spacing w:after="0"/>
              <w:rPr>
                <w:sz w:val="15"/>
                <w:szCs w:val="15"/>
                <w:color w:val="auto"/>
              </w:rPr>
            </w:pPr>
          </w:p>
        </w:tc>
        <w:tc>
          <w:tcPr>
            <w:tcW w:w="1660" w:type="dxa"/>
            <w:vAlign w:val="bottom"/>
          </w:tcPr>
          <w:p>
            <w:pPr>
              <w:jc w:val="center"/>
              <w:ind w:left="1234"/>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180"/>
        </w:trPr>
        <w:tc>
          <w:tcPr>
            <w:tcW w:w="6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income (expense) </w:t>
            </w:r>
            <w:r>
              <w:rPr>
                <w:rFonts w:ascii="Times New Roman" w:cs="Times New Roman" w:eastAsia="Times New Roman" w:hAnsi="Times New Roman"/>
                <w:sz w:val="18"/>
                <w:szCs w:val="18"/>
                <w:color w:val="auto"/>
                <w:vertAlign w:val="superscript"/>
              </w:rPr>
              <w:t>(2)</w:t>
            </w:r>
          </w:p>
        </w:tc>
        <w:tc>
          <w:tcPr>
            <w:tcW w:w="5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center"/>
              <w:ind w:left="1254"/>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ind w:left="1254"/>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6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represents the gains (losses) incurred on foreign currency hedging derivatives (see Note 17 for further details).</w:t>
      </w:r>
    </w:p>
    <w:p>
      <w:pPr>
        <w:spacing w:after="0" w:line="44"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this amount is $0.2 million of loss related to BCS security transactions during the three months ended March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Earnings (Loss)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Earnings (loss) per share was calculated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per-share amounts)</w:t>
            </w: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5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12,619</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13,083</w:t>
            </w:r>
          </w:p>
        </w:tc>
        <w:tc>
          <w:tcPr>
            <w:tcW w:w="0" w:type="dxa"/>
            <w:vAlign w:val="bottom"/>
          </w:tcPr>
          <w:p>
            <w:pPr>
              <w:spacing w:after="0"/>
              <w:rPr>
                <w:sz w:val="1"/>
                <w:szCs w:val="1"/>
                <w:color w:val="auto"/>
              </w:rPr>
            </w:pP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 for basic</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12,619</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13,083</w:t>
            </w:r>
          </w:p>
        </w:tc>
        <w:tc>
          <w:tcPr>
            <w:tcW w:w="0" w:type="dxa"/>
            <w:vAlign w:val="bottom"/>
          </w:tcPr>
          <w:p>
            <w:pPr>
              <w:spacing w:after="0"/>
              <w:rPr>
                <w:sz w:val="1"/>
                <w:szCs w:val="1"/>
                <w:color w:val="auto"/>
              </w:rPr>
            </w:pP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restricted stock, performance stock awards and stock options</w:t>
            </w:r>
          </w:p>
        </w:tc>
        <w:tc>
          <w:tcPr>
            <w:tcW w:w="5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 on a diluted basis</w:t>
            </w:r>
          </w:p>
        </w:tc>
        <w:tc>
          <w:tcPr>
            <w:tcW w:w="52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12,619</w:t>
            </w:r>
          </w:p>
        </w:tc>
        <w:tc>
          <w:tcPr>
            <w:tcW w:w="8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13,083</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number of stock options, shares of restricted stock and shares of performance stock were excluded from the computation of diluted earnings per common share as their inclusion would have been anti-dilutive: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14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r>
      <w:tr>
        <w:trPr>
          <w:trHeight w:val="154"/>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6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326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stock awards</w:t>
            </w:r>
          </w:p>
        </w:tc>
        <w:tc>
          <w:tcPr>
            <w:tcW w:w="5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901"/>
        </w:trPr>
        <w:tc>
          <w:tcPr>
            <w:tcW w:w="3540" w:type="dxa"/>
            <w:vAlign w:val="bottom"/>
          </w:tcPr>
          <w:p>
            <w:pPr>
              <w:spacing w:after="0"/>
              <w:rPr>
                <w:sz w:val="24"/>
                <w:szCs w:val="24"/>
                <w:color w:val="auto"/>
              </w:rPr>
            </w:pPr>
          </w:p>
        </w:tc>
        <w:tc>
          <w:tcPr>
            <w:tcW w:w="32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rPr>
              <w:t>23</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7"/>
        </w:trPr>
        <w:tc>
          <w:tcPr>
            <w:tcW w:w="3540" w:type="dxa"/>
            <w:vAlign w:val="bottom"/>
            <w:tcBorders>
              <w:bottom w:val="single" w:sz="8" w:color="9A9A9A"/>
            </w:tcBorders>
          </w:tcPr>
          <w:p>
            <w:pPr>
              <w:spacing w:after="0"/>
              <w:rPr>
                <w:sz w:val="7"/>
                <w:szCs w:val="7"/>
                <w:color w:val="auto"/>
              </w:rPr>
            </w:pPr>
          </w:p>
        </w:tc>
        <w:tc>
          <w:tcPr>
            <w:tcW w:w="326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Derivatives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total net fair value of derivatives: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54"/>
        </w:trPr>
        <w:tc>
          <w:tcPr>
            <w:tcW w:w="3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Fair Value Measurement Using</w:t>
            </w:r>
          </w:p>
        </w:tc>
        <w:tc>
          <w:tcPr>
            <w:tcW w:w="2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Measurement Using</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7"/>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5"/>
                <w:szCs w:val="15"/>
                <w:color w:val="auto"/>
              </w:rPr>
            </w:pPr>
          </w:p>
        </w:tc>
        <w:tc>
          <w:tcPr>
            <w:tcW w:w="900" w:type="dxa"/>
            <w:vAlign w:val="bottom"/>
            <w:gridSpan w:val="3"/>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15"/>
                <w:szCs w:val="15"/>
                <w:color w:val="auto"/>
              </w:rPr>
            </w:pPr>
          </w:p>
        </w:tc>
        <w:tc>
          <w:tcPr>
            <w:tcW w:w="840" w:type="dxa"/>
            <w:vAlign w:val="bottom"/>
            <w:gridSpan w:val="3"/>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Balance</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 Balance</w:t>
            </w:r>
          </w:p>
        </w:tc>
      </w:tr>
      <w:tr>
        <w:trPr>
          <w:trHeight w:val="18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136</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held foreign currency exchange contracts, which resulted in a net pre-tax gain of $0.5 million and net pre-tax loss $0.2 million for the three months ended March 31, 2026 and 2025,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foreign currency exchange contracts held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Notional Value</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Unrealized Gain/(Loss) Recorded at</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Date Held</w:t>
            </w: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Position Held</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Forward Rate</w:t>
            </w:r>
          </w:p>
        </w:tc>
        <w:tc>
          <w:tcPr>
            <w:tcW w:w="180" w:type="dxa"/>
            <w:vAlign w:val="bottom"/>
          </w:tcPr>
          <w:p>
            <w:pPr>
              <w:spacing w:after="0"/>
              <w:rPr>
                <w:sz w:val="10"/>
                <w:szCs w:val="10"/>
                <w:color w:val="auto"/>
              </w:rPr>
            </w:pPr>
          </w:p>
        </w:tc>
        <w:tc>
          <w:tcPr>
            <w:tcW w:w="218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Settlement Date</w:t>
            </w:r>
          </w:p>
        </w:tc>
        <w:tc>
          <w:tcPr>
            <w:tcW w:w="0" w:type="dxa"/>
            <w:vAlign w:val="bottom"/>
          </w:tcPr>
          <w:p>
            <w:pPr>
              <w:spacing w:after="0"/>
              <w:rPr>
                <w:sz w:val="1"/>
                <w:szCs w:val="1"/>
                <w:color w:val="auto"/>
              </w:rPr>
            </w:pPr>
          </w:p>
        </w:tc>
      </w:tr>
      <w:tr>
        <w:trPr>
          <w:trHeight w:val="159"/>
        </w:trPr>
        <w:tc>
          <w:tcPr>
            <w:tcW w:w="19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1"/>
                <w:szCs w:val="11"/>
                <w:b w:val="1"/>
                <w:bCs w:val="1"/>
                <w:color w:val="auto"/>
              </w:rPr>
              <w:t>(in thousands)</w:t>
            </w:r>
            <w:r>
              <w:rPr>
                <w:rFonts w:ascii="Times New Roman" w:cs="Times New Roman" w:eastAsia="Times New Roman" w:hAnsi="Times New Roman"/>
                <w:sz w:val="14"/>
                <w:szCs w:val="14"/>
                <w:b w:val="1"/>
                <w:bCs w:val="1"/>
                <w:color w:val="auto"/>
                <w:vertAlign w:val="superscript"/>
              </w:rPr>
              <w:t>(1)</w:t>
            </w: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USD/CNY</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CNY</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6.8884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28, 2026</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USD/EUR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USD</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1.1543</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28, 2026</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USD/VND</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USD</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26,633.0000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29, 2026</w:t>
            </w:r>
          </w:p>
        </w:tc>
        <w:tc>
          <w:tcPr>
            <w:tcW w:w="0" w:type="dxa"/>
            <w:vAlign w:val="bottom"/>
          </w:tcPr>
          <w:p>
            <w:pPr>
              <w:spacing w:after="0"/>
              <w:rPr>
                <w:sz w:val="1"/>
                <w:szCs w:val="1"/>
                <w:color w:val="auto"/>
              </w:rPr>
            </w:pPr>
          </w:p>
        </w:tc>
      </w:tr>
      <w:tr>
        <w:trPr>
          <w:trHeight w:val="18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USD/CNY</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CNY</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6.9884</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January 29, 2026</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USD/EUR</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USD</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January 29, 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20" w:hanging="260"/>
        <w:spacing w:after="0" w:line="230" w:lineRule="auto"/>
        <w:tabs>
          <w:tab w:leader="none" w:pos="51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Unrealized gains on foreign currency exchange contracts are recorded in prepaid expenses and other current assets. Unrealized losses on foreign currency exchange contracts are recorded in other accrued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Reportable Segment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our interim chief executive officer,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reported segment revenue, segment profit or loss, and significant segment expenses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40" w:type="dxa"/>
            <w:vAlign w:val="bottom"/>
            <w:tcBorders>
              <w:bottom w:val="single" w:sz="8" w:color="auto"/>
            </w:tcBorders>
          </w:tcPr>
          <w:p>
            <w:pPr>
              <w:spacing w:after="0"/>
              <w:rPr>
                <w:sz w:val="13"/>
                <w:szCs w:val="13"/>
                <w:color w:val="auto"/>
              </w:rPr>
            </w:pPr>
          </w:p>
        </w:tc>
      </w:tr>
      <w:tr>
        <w:trPr>
          <w:trHeight w:val="15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92,326</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68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Adjusted cost of sales </w:t>
            </w:r>
            <w:r>
              <w:rPr>
                <w:rFonts w:ascii="Times New Roman" w:cs="Times New Roman" w:eastAsia="Times New Roman" w:hAnsi="Times New Roman"/>
                <w:sz w:val="18"/>
                <w:szCs w:val="18"/>
                <w:color w:val="auto"/>
                <w:vertAlign w:val="superscript"/>
              </w:rPr>
              <w:t>(1)</w:t>
            </w:r>
          </w:p>
        </w:tc>
        <w:tc>
          <w:tcPr>
            <w:tcW w:w="5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66,227</w:t>
            </w:r>
          </w:p>
        </w:tc>
      </w:tr>
      <w:tr>
        <w:trPr>
          <w:trHeight w:val="180"/>
        </w:trPr>
        <w:tc>
          <w:tcPr>
            <w:tcW w:w="68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Adjusted research and development expenses </w:t>
            </w:r>
            <w:r>
              <w:rPr>
                <w:rFonts w:ascii="Times New Roman" w:cs="Times New Roman" w:eastAsia="Times New Roman" w:hAnsi="Times New Roman"/>
                <w:sz w:val="18"/>
                <w:szCs w:val="18"/>
                <w:color w:val="auto"/>
                <w:vertAlign w:val="superscript"/>
              </w:rPr>
              <w:t>(2)</w:t>
            </w:r>
          </w:p>
        </w:tc>
        <w:tc>
          <w:tcPr>
            <w:tcW w:w="5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w:t>
            </w:r>
          </w:p>
        </w:tc>
      </w:tr>
      <w:tr>
        <w:trPr>
          <w:trHeight w:val="180"/>
        </w:trPr>
        <w:tc>
          <w:tcPr>
            <w:tcW w:w="68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Adjusted operating expenses </w:t>
            </w:r>
            <w:r>
              <w:rPr>
                <w:rFonts w:ascii="Times New Roman" w:cs="Times New Roman" w:eastAsia="Times New Roman" w:hAnsi="Times New Roman"/>
                <w:sz w:val="18"/>
                <w:szCs w:val="18"/>
                <w:color w:val="auto"/>
                <w:vertAlign w:val="superscript"/>
              </w:rPr>
              <w:t>(3)</w:t>
            </w:r>
          </w:p>
        </w:tc>
        <w:tc>
          <w:tcPr>
            <w:tcW w:w="5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w:t>
            </w:r>
          </w:p>
        </w:tc>
      </w:tr>
      <w:tr>
        <w:trPr>
          <w:trHeight w:val="180"/>
        </w:trPr>
        <w:tc>
          <w:tcPr>
            <w:tcW w:w="6800" w:type="dxa"/>
            <w:vAlign w:val="bottom"/>
            <w:tcBorders>
              <w:bottom w:val="single" w:sz="8" w:color="CCEEFF"/>
            </w:tcBorders>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(4)</w:t>
            </w: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4,798</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Cost of sales from the consolidated statements of operations, adjusted to exclude stock-based compensation and impairment expenses.</w:t>
      </w:r>
    </w:p>
    <w:p>
      <w:pPr>
        <w:spacing w:after="0" w:line="44"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R&amp;D expenses from the consolidated statements of operations, adjusted to exclude stock-based compensation expense.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66" w:lineRule="exact"/>
        <w:rPr>
          <w:sz w:val="20"/>
          <w:szCs w:val="20"/>
          <w:color w:val="auto"/>
        </w:rPr>
      </w:pPr>
    </w:p>
    <w:p>
      <w:pPr>
        <w:ind w:left="520" w:hanging="260"/>
        <w:spacing w:after="0" w:line="230" w:lineRule="auto"/>
        <w:tabs>
          <w:tab w:leader="none" w:pos="51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Operating expenses less R&amp;D expenses from the consolidated statements of operations, adjusted to exclude stock-based compensation, amortization of acquired intangible assets, factory restructuring charges, severance, lease abandonment costs and costs associated with our Roku litigation.</w:t>
      </w:r>
    </w:p>
    <w:p>
      <w:pPr>
        <w:spacing w:after="0" w:line="6" w:lineRule="exact"/>
        <w:rPr>
          <w:rFonts w:ascii="Times New Roman" w:cs="Times New Roman" w:eastAsia="Times New Roman" w:hAnsi="Times New Roman"/>
          <w:sz w:val="18"/>
          <w:szCs w:val="18"/>
          <w:color w:val="auto"/>
          <w:vertAlign w:val="superscript"/>
        </w:rPr>
      </w:pPr>
    </w:p>
    <w:p>
      <w:pPr>
        <w:ind w:left="500" w:hanging="240"/>
        <w:spacing w:after="0"/>
        <w:tabs>
          <w:tab w:leader="none" w:pos="50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include the adjustments described in the notes above; as well as interest income (expense), net; other income (expense), net; and provision for income taxes.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measure of segment assets is reported on our consolidated balance sheets as consolidated total assets. Long-lived assets by geographic area are disclosed in Note 5. The measure of revenues from external customers is reported on the consolidated statements of operations as net sales. Revenues by sales channel, geographic region and information about major customers are disclosed in Note 3. Depreciation expense is disclosed in Note 5. Amortization expense is disclosed in Note 6. Interest expense is disclosed in Note 8 and income taxes are disclosed in Note 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UNIVERSAL ELECTRONICS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Subsequent Events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imports certain materials and products that are subject to U.S. Government tariffs and import duties. In March 2026, the U.S. Court of International Trade (CIT) issued a ruling ordering Customs and Border Protection (CBP) to refund and reliquidate certain tariff duties, and in April 2026, CBP established a process to administer tariff refunds. The Company believes that some of the tariffs it has previously paid may be eligible for refund. However, the amount, timing, and receipt of any potential refunds are uncertain. Accordingly, the company has not recorded any benefits related to possible tariff refunds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the Consolidated Financial Statements and the related notes that appear elsewhere in this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All statements in this report are made as of the date this Quarterly Report on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Quarterly Report on Form 10-Q is filed with the SEC. Forward-looking statements include: supply chain issues; customer demand for our products and solutions; expectations with respect to the markets in which we operate, including for specific geographic markets; other future demand and recovery trends and expectations; the delay by or failure of our customers to order products from us; expectations related to the shut down of our Mexico manufacturing facility, including related costs; expected benefits of our restructuring and cost-reduction activities; continued availability of cash through borrowing under our revolving lines of credit; risks related to interest rates and foreign currency exchange rates; expectations with respect to tariff recovery; the effects of doing business internationally, including expanded use of tariffs, pertaining to the importation of our products, particularly in light of the recent U.S. presidential administrative actions and the responsive retaliatory actions of foreign governments; our expectations regarding our ability to meet our liquidity requirements; our capital expenditures and other investment spending expectations; our expectations with respect to the impact of changes in tax laws;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2025 (the "2025 Form 10-K"), Part II, Item 1A of this Quarterly Report on Form 10-Q, and other factors we describe from time to time in our periodic filings with the SEC.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Our channel offerings include: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Connected home:</w:t>
      </w:r>
    </w:p>
    <w:p>
      <w:pPr>
        <w:spacing w:after="0" w:line="94" w:lineRule="exact"/>
        <w:rPr>
          <w:sz w:val="20"/>
          <w:szCs w:val="20"/>
          <w:color w:val="auto"/>
        </w:rPr>
      </w:pPr>
    </w:p>
    <w:p>
      <w:pPr>
        <w:jc w:val="both"/>
        <w:ind w:left="520" w:hanging="260"/>
        <w:spacing w:after="0" w:line="27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Climate Control Solutions: </w:t>
      </w:r>
      <w:r>
        <w:rPr>
          <w:rFonts w:ascii="Times New Roman" w:cs="Times New Roman" w:eastAsia="Times New Roman" w:hAnsi="Times New Roman"/>
          <w:sz w:val="14"/>
          <w:szCs w:val="14"/>
          <w:color w:val="auto"/>
        </w:rPr>
        <w:t>Our innovative climate control solutions include wireless and wired controllers, smart thermostats and connected peripherals for sensing and smart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spacing w:after="0" w:line="6"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Smart Home and Security Products: </w:t>
      </w:r>
      <w:r>
        <w:rPr>
          <w:rFonts w:ascii="Times New Roman" w:cs="Times New Roman" w:eastAsia="Times New Roman" w:hAnsi="Times New Roman"/>
          <w:sz w:val="14"/>
          <w:szCs w:val="14"/>
          <w:color w:val="auto"/>
        </w:rPr>
        <w:t>We offer proprietary and standards-based radio frequency ("RF") wireless remote controls and sensors designed for residential security, safety and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broad variety of home automation applications, such as smart lighting and motorized shades.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Home entertainment:</w:t>
      </w:r>
    </w:p>
    <w:p>
      <w:pPr>
        <w:spacing w:after="0" w:line="94" w:lineRule="exact"/>
        <w:rPr>
          <w:sz w:val="20"/>
          <w:szCs w:val="20"/>
          <w:color w:val="auto"/>
        </w:rPr>
      </w:pPr>
    </w:p>
    <w:p>
      <w:pPr>
        <w:jc w:val="both"/>
        <w:ind w:left="520" w:hanging="260"/>
        <w:spacing w:after="0" w:line="265"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Home Entertainment Products: </w:t>
      </w:r>
      <w:r>
        <w:rPr>
          <w:rFonts w:ascii="Times New Roman" w:cs="Times New Roman" w:eastAsia="Times New Roman" w:hAnsi="Times New Roman"/>
          <w:sz w:val="14"/>
          <w:szCs w:val="14"/>
          <w:color w:val="auto"/>
        </w:rPr>
        <w:t>Our industry-leading portfolio includes RF-capable, voice-enabled universal remote control products; low-power RF and energy-harvesting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both"/>
        <w:ind w:left="520" w:hanging="260"/>
        <w:spacing w:after="0" w:line="265"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Software and Cloud Services: </w:t>
      </w:r>
      <w:r>
        <w:rPr>
          <w:rFonts w:ascii="Times New Roman" w:cs="Times New Roman" w:eastAsia="Times New Roman" w:hAnsi="Times New Roman"/>
          <w:sz w:val="14"/>
          <w:szCs w:val="14"/>
          <w:color w:val="auto"/>
        </w:rPr>
        <w:t>Our software, firmware and technology solutions enable devices such as smart TVs, hybrid set-top boxes, game consoles and other consumer electronic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spacing w:after="0" w:line="10"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Intellectual Property and Licensing: </w:t>
      </w:r>
      <w:r>
        <w:rPr>
          <w:rFonts w:ascii="Times New Roman" w:cs="Times New Roman" w:eastAsia="Times New Roman" w:hAnsi="Times New Roman"/>
          <w:sz w:val="14"/>
          <w:szCs w:val="14"/>
          <w:color w:val="auto"/>
        </w:rPr>
        <w:t>We license our intellectual property primarily to OEMs and video service providers. Our cloud-enabled software provides reliable firmware update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spacing w:after="0" w:line="1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operate as one business segment. We have one domestic subsidiary and 23 international subsidiaries located in Brazil, France, Germany, Hong Kong (3), India, Italy, Japan, Korea, Mexico (2), the Netherlands, the People's Republic of China (the "PRC") (7), Singapore, Spain, United Kingdom and Vietnam.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recap our results for the three months ended March 31, 2026:</w:t>
      </w:r>
    </w:p>
    <w:p>
      <w:pPr>
        <w:spacing w:after="0" w:line="200" w:lineRule="exact"/>
        <w:rPr>
          <w:sz w:val="20"/>
          <w:szCs w:val="20"/>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 decreased 14.4% to $79.0 million for the three months ended March 31, 2026 from $92.3 million for the three months ended March 31, 2025.</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gross margin percentage decreased to 26.1% for the three months ended March 31, 2026 from 28.3% for the three months ended March 31, 2025.</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as a percentage of net sales, decreased to 31.0% for the three months ended March 31, 2026 from 32.3% for the three months ended March 31, 2025.</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loss was $3.9 million for the three months ended March 31, 2026 compared to operating loss of $3.8 million for the three months ended March 31, 2025. Our operating loss percentage was 4.9% for the three months ended March 31, 2026 compared to our operating income percentage of 4.1% for the three months ended March 31, 2025.</w:t>
      </w: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expense was $3.6 million for the three months ended March 31, 2026 compared to $2.2 million for the three months ended March 31, 2025.</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Conditions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been negatively impacted and we expect to continue to be negatively impacted by adverse macroeconomic conditions, including tariffs imposed or to be imposed on goods manufactured in Vietnam, Taiwan, the PRC, and Mexico, and reduced consumer spending on durable goods. Economic tensions and changes in international trade policies, including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w:t>
      </w:r>
      <w:r>
        <w:rPr>
          <w:rFonts w:ascii="Times New Roman" w:cs="Times New Roman" w:eastAsia="Times New Roman" w:hAnsi="Times New Roman"/>
          <w:sz w:val="12"/>
          <w:szCs w:val="12"/>
          <w:color w:val="auto"/>
        </w:rPr>
        <w:t>three months ended March 31, 2026</w:t>
      </w:r>
      <w:r>
        <w:rPr>
          <w:rFonts w:ascii="Times New Roman" w:cs="Times New Roman" w:eastAsia="Times New Roman" w:hAnsi="Times New Roman"/>
          <w:sz w:val="14"/>
          <w:szCs w:val="14"/>
          <w:color w:val="auto"/>
        </w:rPr>
        <w:t xml:space="preserve"> to the items that we disclosed as our critical accounting policies and estimates in Item 7, "Management's Discussion and Analysis of Financial Condition and Results of Operations" contained in the 2025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 contained in the "Notes to Consolidated Financial Statements" for a discussion of recent accounting pronouncements.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reported results of operations expressed as a percentage of net sales for the periods indicated.</w:t>
      </w:r>
    </w:p>
    <w:p>
      <w:pPr>
        <w:spacing w:after="0" w:line="3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8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8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5"/>
                <w:szCs w:val="15"/>
                <w:color w:val="auto"/>
              </w:rPr>
            </w:pPr>
          </w:p>
        </w:tc>
        <w:tc>
          <w:tcPr>
            <w:tcW w:w="1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71.7</w:t>
            </w:r>
          </w:p>
        </w:tc>
      </w:tr>
      <w:tr>
        <w:trPr>
          <w:trHeight w:val="171"/>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28.3</w:t>
            </w:r>
          </w:p>
        </w:tc>
      </w:tr>
      <w:tr>
        <w:trPr>
          <w:trHeight w:val="18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5"/>
                <w:szCs w:val="15"/>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5"/>
                <w:szCs w:val="15"/>
                <w:color w:val="auto"/>
              </w:rPr>
            </w:pPr>
          </w:p>
        </w:tc>
        <w:tc>
          <w:tcPr>
            <w:tcW w:w="186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1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w:t>
            </w:r>
          </w:p>
        </w:tc>
      </w:tr>
      <w:tr>
        <w:trPr>
          <w:trHeight w:val="196"/>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w w:val="98"/>
              </w:rPr>
              <w:t>(6.8)%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 versus Three Months Ended March 31,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Net sales for the three months ended March 31, 2026 were $79.0 million compared to $92.3 million for the three months ended March 31, 2025. Net sales by channel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Connected home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31,729</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Home entertainment</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60,597</w:t>
            </w:r>
          </w:p>
        </w:tc>
      </w:tr>
      <w:tr>
        <w:trPr>
          <w:trHeight w:val="196"/>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 sales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sales in connected home were $28.3 million for the three months ended March 31, 2026 compared to $31.7 million for the three months ended March 31, 2025. This decrease is driven primarily by reduced demand from our large climate control and home automation customers.</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Net sales in home entertainment were $50.7 million for the three months ended March 31, 2026 compared to $60.6 million for the three months ended March 31, 2025. The decrease in sales within the home entertainment channel was primarily driven by lower demand for subscription broadcasting products in North America and Latin America, particularly for basic remote controls with lower price points and limited or no advanced features. The retail market also remains weak, reflecting elevated inventory levels and soft sell-through performance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Gross profit</w:t>
      </w:r>
      <w:r>
        <w:rPr>
          <w:rFonts w:ascii="Times New Roman" w:cs="Times New Roman" w:eastAsia="Times New Roman" w:hAnsi="Times New Roman"/>
          <w:sz w:val="14"/>
          <w:szCs w:val="14"/>
          <w:color w:val="auto"/>
        </w:rPr>
        <w:t>. Gross profit for the three months ended March 31, 2026 was $20.6 million compared to $26.1 million for the three months ended March 31, 2025. Gross profit as a percentage of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decreased to 26.1% for the three months ended March 31, 2026 from 28.3% for the three months ended March 31, 2025. The decline in gross margin was primarily driven by an unfavorable change in sales mix, which reduced margin by 170 basis points, and additional tariff costs that could not be passed on to customers, which reduced margin by 110 basis points. These pressures were partially offset by realized procurement savings, which improved gross margin by approximately 70 basis points.</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("R&amp;D") expenses. </w:t>
      </w:r>
      <w:r>
        <w:rPr>
          <w:rFonts w:ascii="Times New Roman" w:cs="Times New Roman" w:eastAsia="Times New Roman" w:hAnsi="Times New Roman"/>
          <w:sz w:val="14"/>
          <w:szCs w:val="14"/>
          <w:color w:val="auto"/>
        </w:rPr>
        <w:t>R&amp;D expenses decreased to $5.5 million for the three months ended March 31, 2026 from $7.2 million for the three months ended March 31,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attributable to reductions in payroll and related personnel expenses following headcount optimization actions.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("SG&amp;A") expenses. </w:t>
      </w:r>
      <w:r>
        <w:rPr>
          <w:rFonts w:ascii="Times New Roman" w:cs="Times New Roman" w:eastAsia="Times New Roman" w:hAnsi="Times New Roman"/>
          <w:sz w:val="14"/>
          <w:szCs w:val="14"/>
          <w:color w:val="auto"/>
        </w:rPr>
        <w:t>SG&amp;A expenses decreased to $19.0 million for the three months ended March 31, 2026 from $22.6 million for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2025. The decrease reflects lower volume-driven expenses of $0.3 million, consistent with the decline in sales volume. In addition, ongoing cost-reduction initiatives, including organizational rightsizing, resulted in savings from headcount reductions. People-related expenses decreased by $2.9 million, complemented by an additional $1.0 million reduction in other discretionary spending including travel expense. These savings were largely offset by $0.6 million of severance costs associated with our global reduction in force.</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income (expense), net. </w:t>
      </w:r>
      <w:r>
        <w:rPr>
          <w:rFonts w:ascii="Times New Roman" w:cs="Times New Roman" w:eastAsia="Times New Roman" w:hAnsi="Times New Roman"/>
          <w:sz w:val="14"/>
          <w:szCs w:val="14"/>
          <w:color w:val="auto"/>
        </w:rPr>
        <w:t>Interest expense, net decreased to $0.1 million for the three months ended March 31, 2026 from $0.4 million for the three months ended March 31, 2025, as a result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lower average loan balance and lower interest rates.</w:t>
      </w:r>
    </w:p>
    <w:p>
      <w:pPr>
        <w:spacing w:after="0" w:line="131"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Other income (expense), net. </w:t>
      </w:r>
      <w:r>
        <w:rPr>
          <w:rFonts w:ascii="Times New Roman" w:cs="Times New Roman" w:eastAsia="Times New Roman" w:hAnsi="Times New Roman"/>
          <w:sz w:val="14"/>
          <w:szCs w:val="14"/>
          <w:color w:val="auto"/>
        </w:rPr>
        <w:t>Other income, net was $0.2 million for the three months ended March 31, 2026 compared to other income, net of $0.1 million for the three months ended March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This increase was attributable to a lower foreign currency losses incurred in the first quarter of 2026.</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Income tax expense was $3.6 million for the three months ended March 31, 2026, relative to a pre-tax loss of $3.8 million, compared to income tax expense of $2.2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for the three months ended March 31, 2025, relative to a pre-tax loss of $4.1 million. Consistent with 2025, we expect the U.S. to be in a pre-tax loss position without benefit for the full year 2026, resulting in an elevated effective tax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of Cash</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40" w:type="dxa"/>
            <w:vAlign w:val="bottom"/>
            <w:shd w:val="clear" w:color="auto" w:fill="CCEEFF"/>
          </w:tcPr>
          <w:p>
            <w:pPr>
              <w:jc w:val="right"/>
              <w:ind w:right="13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32,306</w:t>
            </w:r>
          </w:p>
        </w:tc>
      </w:tr>
      <w:tr>
        <w:trPr>
          <w:trHeight w:val="184"/>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 borrowing resources</w:t>
            </w:r>
          </w:p>
        </w:tc>
        <w:tc>
          <w:tcPr>
            <w:tcW w:w="1540" w:type="dxa"/>
            <w:vAlign w:val="bottom"/>
          </w:tcPr>
          <w:p>
            <w:pPr>
              <w:jc w:val="right"/>
              <w:ind w:right="13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41,589</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42,459</w:t>
            </w:r>
          </w:p>
        </w:tc>
      </w:tr>
    </w:tbl>
    <w:p>
      <w:pPr>
        <w:spacing w:after="0" w:line="24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 On March 31, 2026, we had $3.1 million, $7.8 million, $3.2 million, $10.0 million and $5.9 million of cash and cash equivalents in North America, the PRC,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Asia (excluding the PRC), Europe, and South America, respectively. We attempt to mitigate our exposure to liquidity, credit and other relevant risks by placing our cash and cash equivalents with financial institutions we believe are high quality.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both"/>
        <w:ind w:right="50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Available Borrowing Resources </w:t>
      </w:r>
      <w:r>
        <w:rPr>
          <w:rFonts w:ascii="Times New Roman" w:cs="Times New Roman" w:eastAsia="Times New Roman" w:hAnsi="Times New Roman"/>
          <w:sz w:val="14"/>
          <w:szCs w:val="14"/>
          <w:color w:val="auto"/>
        </w:rPr>
        <w:t>– Our Second Amended and Restated Credit Agreement ("Second Amended Credit Agreement") with U.S. Bank National Association ("U.S. Bank")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provides for a revolving line of credit ("U.S. Credit Line") through September 30, 2027. The U.S. Credit Line may be used for working capital and other general corporate purposes including acquisitions, share repurchases and capital expenditures.</w:t>
      </w:r>
    </w:p>
    <w:p>
      <w:pPr>
        <w:spacing w:after="0" w:line="15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U.S. Credit Line has a maximum availability of up to $60.0 million, subject to meeting certain financial conditions. Availability is based on "Borrowing Base", which is defined as 75% of accounts receivable aged less than 90 days less reserves for doubtful accounts and returns. The Borrowing Base is calculated monthly. At March 31, 2026, the U.S. Credit Line total availability was $47.9 million. At May 7, 2026, the U.S. Credit Line total availability was $41.1 million.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Amounts available for borrowing under the U.S. Credit Line are reduced by the balance of any outstanding letters of credit, of which there were $1.9 million at March 31, 2026 and $0.5 million at December 31, 2025. At March 31, 2026 and December 31, 2025, we had $4.4 million and $5.5 million outstanding under the U.S. Credit Line, respectively. At March 31, 2026, our remaining availability under our U.S. Credit Line was $41.6 million.</w:t>
      </w:r>
    </w:p>
    <w:p>
      <w:pPr>
        <w:spacing w:after="0" w:line="15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Our subsidiary, Gemstar Technology (Yangzhou) Co. Ltd. ("GTY"), has a Line of Credit Agreement ("Line of Credit Agreement") with the Bank of China, which provides for a revolving line of credit ("China Credit Line" and, together with the U.S. Credit Line, "Credit Lines"). As a continuation of the agreement, on July 30, 2025, we executed an amendment to the Line of Credit Agreement, which extends the term of the China Credit Line to July 16, 2026. We expect to renew our China Credit Line prior to its expiration; however, no assurance can be given that future financing will be available or, if available, that we will be offered terms satisfactory to us. The China Credit Line may be used for working capital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2026, the China Credit Line had a maximum availability of up to RMB 130.0 million (approximately $18.8 million), subject to meeting certain financial conditions.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China Credit Line may be used for working capital purposes. Amounts available for borrowing under the China Credit Line are reduced by the balance of any outstanding letters of credit, of which there were none at March 31, 2026 and December 31, 2025. At March 31, 2026, we had an outstanding balance of RMB 130.0 million (approximately $18.8 million) on our China Credit Line and no remaining availability.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8 contained in the "Notes to Consolidated Financial Statements" for further information regarding our Credit Lines.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cash flows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60" w:type="dxa"/>
            <w:vAlign w:val="bottom"/>
          </w:tcPr>
          <w:p>
            <w:pPr>
              <w:spacing w:after="0"/>
              <w:rPr>
                <w:sz w:val="11"/>
                <w:szCs w:val="11"/>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Increase</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53"/>
        </w:trPr>
        <w:tc>
          <w:tcPr>
            <w:tcW w:w="48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(Decrease)</w:t>
            </w:r>
          </w:p>
        </w:tc>
        <w:tc>
          <w:tcPr>
            <w:tcW w:w="220" w:type="dxa"/>
            <w:vAlign w:val="bottom"/>
          </w:tcPr>
          <w:p>
            <w:pPr>
              <w:spacing w:after="0"/>
              <w:rPr>
                <w:sz w:val="13"/>
                <w:szCs w:val="13"/>
                <w:color w:val="auto"/>
              </w:rPr>
            </w:pPr>
          </w:p>
        </w:tc>
        <w:tc>
          <w:tcPr>
            <w:tcW w:w="142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 operating activities</w:t>
            </w:r>
          </w:p>
        </w:tc>
        <w:tc>
          <w:tcPr>
            <w:tcW w:w="1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8,984</w:t>
            </w: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provided by (used for) investing activities</w:t>
            </w: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18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 financing activities</w:t>
            </w: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0" w:type="dxa"/>
            <w:vAlign w:val="bottom"/>
          </w:tcPr>
          <w:p>
            <w:pPr>
              <w:spacing w:after="0"/>
              <w:rPr>
                <w:sz w:val="1"/>
                <w:szCs w:val="1"/>
                <w:color w:val="auto"/>
              </w:rPr>
            </w:pPr>
          </w:p>
        </w:tc>
      </w:tr>
      <w:tr>
        <w:trPr>
          <w:trHeight w:val="18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currency exchange rates on cash and cash equivalents</w:t>
            </w:r>
          </w:p>
        </w:tc>
        <w:tc>
          <w:tcPr>
            <w:tcW w:w="1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Increase</w:t>
            </w:r>
          </w:p>
        </w:tc>
        <w:tc>
          <w:tcPr>
            <w:tcW w:w="220" w:type="dxa"/>
            <w:vAlign w:val="bottom"/>
          </w:tcPr>
          <w:p>
            <w:pPr>
              <w:spacing w:after="0"/>
              <w:rPr>
                <w:sz w:val="24"/>
                <w:szCs w:val="24"/>
                <w:color w:val="auto"/>
              </w:rPr>
            </w:pPr>
          </w:p>
        </w:tc>
        <w:tc>
          <w:tcPr>
            <w:tcW w:w="142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3"/>
        </w:trPr>
        <w:tc>
          <w:tcPr>
            <w:tcW w:w="4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(Decrease)</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32,306</w:t>
            </w: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Working capital</w:t>
            </w:r>
          </w:p>
        </w:tc>
        <w:tc>
          <w:tcPr>
            <w:tcW w:w="162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82,971</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tcPr>
          <w:p>
            <w:pPr>
              <w:spacing w:after="0"/>
              <w:rPr>
                <w:sz w:val="16"/>
                <w:szCs w:val="16"/>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85,809</w:t>
            </w:r>
          </w:p>
        </w:tc>
        <w:tc>
          <w:tcPr>
            <w:tcW w:w="0" w:type="dxa"/>
            <w:vAlign w:val="bottom"/>
          </w:tcPr>
          <w:p>
            <w:pPr>
              <w:spacing w:after="0"/>
              <w:rPr>
                <w:sz w:val="1"/>
                <w:szCs w:val="1"/>
                <w:color w:val="auto"/>
              </w:rPr>
            </w:pPr>
          </w:p>
        </w:tc>
      </w:tr>
      <w:tr>
        <w:trPr>
          <w:trHeight w:val="866"/>
        </w:trPr>
        <w:tc>
          <w:tcPr>
            <w:tcW w:w="4800" w:type="dxa"/>
            <w:vAlign w:val="bottom"/>
          </w:tcPr>
          <w:p>
            <w:pPr>
              <w:spacing w:after="0"/>
              <w:rPr>
                <w:sz w:val="24"/>
                <w:szCs w:val="24"/>
                <w:color w:val="auto"/>
              </w:rPr>
            </w:pPr>
          </w:p>
        </w:tc>
        <w:tc>
          <w:tcPr>
            <w:tcW w:w="13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Net cash used by operating activities </w:t>
      </w:r>
      <w:r>
        <w:rPr>
          <w:rFonts w:ascii="Times New Roman" w:cs="Times New Roman" w:eastAsia="Times New Roman" w:hAnsi="Times New Roman"/>
          <w:sz w:val="14"/>
          <w:szCs w:val="14"/>
          <w:color w:val="auto"/>
        </w:rPr>
        <w:t>was $0.8 million during the three months ended March 31, 2026 compared to $9.0 million provided by operating activities during the three months ended March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31, 2025. The decrease in operating cash flows primarily reflects changes in working capital, particularly in accounts receivable and contract assets and inventory. Net loss was $7.3 million for the three months ended March 31, 2026, compared to net loss of $6.3 million in the prior-year period. Depreciation and amortization expense was $3.1 million during the three months ended March 31, 2026 compared to $4.1 million during the three months ended March 31, 2025, primarily due to lower capital expenditures in recent years, consistent with the decline in production volumes. Inventories decreased by $9.8 million during three months ended March 31, 2026, compared to a decrease of $3.0 million during the same period in 2025, reflecting improved inventory management practices. A decrease in accounts receivable and contract assets, mainly due to lower sales, resulted in cash inflows of $2.8 million in the three months ended March 31, 2026 and $10.5 million in the three months ended March 31, 2025. Days sales outstanding improved to 79 days at March 31, 2026, from 83 days at March 31, 2025. A decrease in accounts payable and accrued liabilities, primarily driven by lower inventory purchases and timing of payments, resulted in cash outflows of $11.2 million during the three months ended March 31, 2026, compared to $5.3 million in the prior-year period.</w:t>
      </w:r>
    </w:p>
    <w:p>
      <w:pPr>
        <w:spacing w:after="0" w:line="3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cash used for investing activities </w:t>
      </w:r>
      <w:r>
        <w:rPr>
          <w:rFonts w:ascii="Times New Roman" w:cs="Times New Roman" w:eastAsia="Times New Roman" w:hAnsi="Times New Roman"/>
          <w:sz w:val="14"/>
          <w:szCs w:val="14"/>
          <w:color w:val="auto"/>
        </w:rPr>
        <w:t>during the three months ended March 31, 2026 was $1.2 million, of which $0.8 million and $0.4 million was used for capital expenditures and the development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patents, respectively. Net cash used for investing activities during the three months ended March 31, 2025 was $1.9 million, of which $1.0 million and $0.7 million was used for capital expenditures and the development of patents, respectively.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Future cash flows used for investing activities are largely dependent on the timing and amount of capital expenditures and the development of patents, respectively. We estimate that we will incur between $3.0 million and $5.0 million during the remainder of 2026.</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Net cash used for financing activities </w:t>
      </w:r>
      <w:r>
        <w:rPr>
          <w:rFonts w:ascii="Times New Roman" w:cs="Times New Roman" w:eastAsia="Times New Roman" w:hAnsi="Times New Roman"/>
          <w:sz w:val="14"/>
          <w:szCs w:val="14"/>
          <w:color w:val="auto"/>
        </w:rPr>
        <w:t>was $1.1 million during the three months ended March 31, 2026 compared to $6.4 million during the three months ended March 31, 2025. The primary financing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activities during the three months ended March 31, 2026 and 2025 were borrowings and repayments on our Credit Lines and repurchases of shares of our common stock. Net repayments on our Credit Lines were $1.1 million during the three months ended March 31, 2026 compared to $6.0 million during the three months ended March 31, 2025. During the three months ended March 31, 2026, we did not repurchase any of our common stock at March 31, 2026 compared to our repurchase of 41,000 shares at a cost of $0.4 million during the three months ended March 31, 2025.</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Material Cash Commitments </w:t>
      </w:r>
      <w:r>
        <w:rPr>
          <w:rFonts w:ascii="Times New Roman" w:cs="Times New Roman" w:eastAsia="Times New Roman" w:hAnsi="Times New Roman"/>
          <w:sz w:val="14"/>
          <w:szCs w:val="14"/>
          <w:color w:val="auto"/>
        </w:rPr>
        <w:t>– The following table summarizes our material cash commitments and the effect these commitments are expected to have on our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9"/>
                <w:szCs w:val="9"/>
                <w:color w:val="auto"/>
              </w:rPr>
            </w:pPr>
          </w:p>
        </w:tc>
        <w:tc>
          <w:tcPr>
            <w:tcW w:w="106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280" w:type="dxa"/>
            <w:vAlign w:val="bottom"/>
          </w:tcPr>
          <w:p>
            <w:pPr>
              <w:spacing w:after="0"/>
              <w:rPr>
                <w:sz w:val="9"/>
                <w:szCs w:val="9"/>
                <w:color w:val="auto"/>
              </w:rPr>
            </w:pPr>
          </w:p>
        </w:tc>
        <w:tc>
          <w:tcPr>
            <w:tcW w:w="920" w:type="dxa"/>
            <w:vAlign w:val="bottom"/>
          </w:tcPr>
          <w:p>
            <w:pPr>
              <w:jc w:val="right"/>
              <w:ind w:right="433"/>
              <w:spacing w:after="0" w:line="108" w:lineRule="exact"/>
              <w:rPr>
                <w:sz w:val="20"/>
                <w:szCs w:val="20"/>
                <w:color w:val="auto"/>
              </w:rPr>
            </w:pPr>
            <w:r>
              <w:rPr>
                <w:rFonts w:ascii="Times New Roman" w:cs="Times New Roman" w:eastAsia="Times New Roman" w:hAnsi="Times New Roman"/>
                <w:sz w:val="11"/>
                <w:szCs w:val="11"/>
                <w:b w:val="1"/>
                <w:bCs w:val="1"/>
                <w:color w:val="auto"/>
              </w:rPr>
              <w:t>1 - 3</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ind w:right="433"/>
              <w:spacing w:after="0" w:line="108" w:lineRule="exact"/>
              <w:rPr>
                <w:sz w:val="20"/>
                <w:szCs w:val="20"/>
                <w:color w:val="auto"/>
              </w:rPr>
            </w:pPr>
            <w:r>
              <w:rPr>
                <w:rFonts w:ascii="Times New Roman" w:cs="Times New Roman" w:eastAsia="Times New Roman" w:hAnsi="Times New Roman"/>
                <w:sz w:val="11"/>
                <w:szCs w:val="11"/>
                <w:b w:val="1"/>
                <w:bCs w:val="1"/>
                <w:color w:val="auto"/>
              </w:rPr>
              <w:t>4 - 5</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jc w:val="right"/>
              <w:ind w:right="393"/>
              <w:spacing w:after="0" w:line="108" w:lineRule="exact"/>
              <w:rPr>
                <w:sz w:val="20"/>
                <w:szCs w:val="20"/>
                <w:color w:val="auto"/>
              </w:rPr>
            </w:pPr>
            <w:r>
              <w:rPr>
                <w:rFonts w:ascii="Times New Roman" w:cs="Times New Roman" w:eastAsia="Times New Roman" w:hAnsi="Times New Roman"/>
                <w:sz w:val="11"/>
                <w:szCs w:val="11"/>
                <w:b w:val="1"/>
                <w:bCs w:val="1"/>
                <w:color w:val="auto"/>
              </w:rPr>
              <w:t>After</w:t>
            </w:r>
          </w:p>
        </w:tc>
        <w:tc>
          <w:tcPr>
            <w:tcW w:w="0" w:type="dxa"/>
            <w:vAlign w:val="bottom"/>
          </w:tcPr>
          <w:p>
            <w:pPr>
              <w:spacing w:after="0"/>
              <w:rPr>
                <w:sz w:val="1"/>
                <w:szCs w:val="1"/>
                <w:color w:val="auto"/>
              </w:rPr>
            </w:pPr>
          </w:p>
        </w:tc>
      </w:tr>
      <w:tr>
        <w:trPr>
          <w:trHeight w:val="153"/>
        </w:trPr>
        <w:tc>
          <w:tcPr>
            <w:tcW w:w="48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280" w:type="dxa"/>
            <w:vAlign w:val="bottom"/>
          </w:tcPr>
          <w:p>
            <w:pPr>
              <w:spacing w:after="0"/>
              <w:rPr>
                <w:sz w:val="13"/>
                <w:szCs w:val="13"/>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8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60" w:type="dxa"/>
            <w:vAlign w:val="bottom"/>
          </w:tcPr>
          <w:p>
            <w:pPr>
              <w:spacing w:after="0"/>
              <w:rPr>
                <w:sz w:val="13"/>
                <w:szCs w:val="13"/>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75"/>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Lines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23,207</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purchases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purchases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license</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material cash commitments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36,327</w:t>
            </w:r>
          </w:p>
        </w:tc>
        <w:tc>
          <w:tcPr>
            <w:tcW w:w="10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meeting our material cash commitments with our cash generated from operations and available borrowing on our Credit Lines.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Quarterly Report on Form 10-Q.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subject to lawsuits arising out of the conduct of our business. The discussion of our litigation matters contained in Note 12 to the "Notes to Consolidated Financial Statements"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reader should carefully consider, in connection with the other information in this report, the risk factors discussed in "Part I, Item 1A: Risk Factors" of the 2025 Form 10-K and in the periodic reports we have filed since then. These factors may cause our actual results to differ materially from those stated in forward-looking statements contained in this Quarterly Report on Form 10-Q and elsewhere.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sets forth, for the three months ended March 31, 2026, our total stock repurchases, average price paid per share and the maximum number of shares that may yet be purchased on the open market under our plans or programs: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 Purchased as</w:t>
            </w:r>
          </w:p>
        </w:tc>
        <w:tc>
          <w:tcPr>
            <w:tcW w:w="100" w:type="dxa"/>
            <w:vAlign w:val="bottom"/>
          </w:tcPr>
          <w:p>
            <w:pPr>
              <w:spacing w:after="0"/>
              <w:rPr>
                <w:sz w:val="11"/>
                <w:szCs w:val="11"/>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 Number of Shares that May</w:t>
            </w:r>
          </w:p>
        </w:tc>
        <w:tc>
          <w:tcPr>
            <w:tcW w:w="0" w:type="dxa"/>
            <w:vAlign w:val="bottom"/>
          </w:tcPr>
          <w:p>
            <w:pPr>
              <w:spacing w:after="0"/>
              <w:rPr>
                <w:sz w:val="1"/>
                <w:szCs w:val="1"/>
                <w:color w:val="auto"/>
              </w:rPr>
            </w:pPr>
          </w:p>
        </w:tc>
      </w:tr>
      <w:tr>
        <w:trPr>
          <w:trHeight w:val="115"/>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Price Paid</w:t>
            </w:r>
          </w:p>
        </w:tc>
        <w:tc>
          <w:tcPr>
            <w:tcW w:w="18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Part of Publicly Announced Plans or</w:t>
            </w:r>
          </w:p>
        </w:tc>
        <w:tc>
          <w:tcPr>
            <w:tcW w:w="100" w:type="dxa"/>
            <w:vAlign w:val="bottom"/>
          </w:tcPr>
          <w:p>
            <w:pPr>
              <w:spacing w:after="0"/>
              <w:rPr>
                <w:sz w:val="10"/>
                <w:szCs w:val="10"/>
                <w:color w:val="auto"/>
              </w:rPr>
            </w:pPr>
          </w:p>
        </w:tc>
        <w:tc>
          <w:tcPr>
            <w:tcW w:w="20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Yet Be Purchased Under the Plans or</w:t>
            </w:r>
          </w:p>
        </w:tc>
        <w:tc>
          <w:tcPr>
            <w:tcW w:w="0" w:type="dxa"/>
            <w:vAlign w:val="bottom"/>
          </w:tcPr>
          <w:p>
            <w:pPr>
              <w:spacing w:after="0"/>
              <w:rPr>
                <w:sz w:val="1"/>
                <w:szCs w:val="1"/>
                <w:color w:val="auto"/>
              </w:rPr>
            </w:pPr>
          </w:p>
        </w:tc>
      </w:tr>
      <w:tr>
        <w:trPr>
          <w:trHeight w:val="155"/>
        </w:trPr>
        <w:tc>
          <w:tcPr>
            <w:tcW w:w="4220" w:type="dxa"/>
            <w:vAlign w:val="bottom"/>
            <w:gridSpan w:val="2"/>
            <w:vMerge w:val="continue"/>
          </w:tcPr>
          <w:p>
            <w:pPr>
              <w:spacing w:after="0"/>
              <w:rPr>
                <w:sz w:val="13"/>
                <w:szCs w:val="13"/>
                <w:color w:val="auto"/>
              </w:rPr>
            </w:pPr>
          </w:p>
        </w:tc>
        <w:tc>
          <w:tcPr>
            <w:tcW w:w="14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Programs</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75"/>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2026 - January 31, 2026</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13,556</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 2026 - February 28, 2026</w:t>
            </w: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13,556</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2026- March 31, 2026</w:t>
            </w: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1,013,556</w:t>
            </w:r>
          </w:p>
        </w:tc>
        <w:tc>
          <w:tcPr>
            <w:tcW w:w="0" w:type="dxa"/>
            <w:vAlign w:val="bottom"/>
          </w:tcPr>
          <w:p>
            <w:pPr>
              <w:spacing w:after="0"/>
              <w:rPr>
                <w:sz w:val="1"/>
                <w:szCs w:val="1"/>
                <w:color w:val="auto"/>
              </w:rPr>
            </w:pPr>
          </w:p>
        </w:tc>
      </w:tr>
      <w:tr>
        <w:trPr>
          <w:trHeight w:val="171"/>
        </w:trPr>
        <w:tc>
          <w:tcPr>
            <w:tcW w:w="4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left="520" w:hanging="260"/>
        <w:spacing w:after="0" w:line="247" w:lineRule="auto"/>
        <w:tabs>
          <w:tab w:leader="none" w:pos="51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11, 2026 our Board of Directors authorized an amendment to the Company's Share Repurchase Program that had been originally approved in October 2023 (as subsequently amended, the "Share Repurchase Program") to authorize the repurchase, from time to time, of up to an additional 1,000,000 shares of the Company's outstanding common stock, or a total of 1,013,556 shares (including the 13,556 shares remaining available under prior Board authorization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2026,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5"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860" w:type="dxa"/>
            <w:vAlign w:val="bottom"/>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87"/>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9740" w:type="dxa"/>
            <w:vAlign w:val="bottom"/>
            <w:gridSpan w:val="8"/>
          </w:tcPr>
          <w:p>
            <w:pPr>
              <w:spacing w:after="0"/>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Twelfth Amendment to Amended and Restated Credit Agreement, dated as of March 11, 2026, by and among the Company, the lender parties thereto, and U.S. Bank</w:t>
              </w:r>
            </w:hyperlink>
          </w:p>
        </w:tc>
      </w:tr>
      <w:tr>
        <w:trPr>
          <w:trHeight w:val="118"/>
        </w:trPr>
        <w:tc>
          <w:tcPr>
            <w:tcW w:w="1380" w:type="dxa"/>
            <w:vAlign w:val="bottom"/>
          </w:tcPr>
          <w:p>
            <w:pPr>
              <w:spacing w:after="0"/>
              <w:rPr>
                <w:sz w:val="10"/>
                <w:szCs w:val="10"/>
                <w:color w:val="auto"/>
              </w:rPr>
            </w:pPr>
          </w:p>
        </w:tc>
        <w:tc>
          <w:tcPr>
            <w:tcW w:w="97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52">
              <w:r>
                <w:rPr>
                  <w:rFonts w:ascii="Times New Roman" w:cs="Times New Roman" w:eastAsia="Times New Roman" w:hAnsi="Times New Roman"/>
                  <w:sz w:val="13"/>
                  <w:szCs w:val="13"/>
                  <w:color w:val="0000FF"/>
                </w:rPr>
                <w:t>National Association, as administrative agent (incorporated by reference to Exhibit 10.40 to the Company's Annual Report on Form 10-K for the year ended December 31,</w:t>
              </w:r>
            </w:hyperlink>
          </w:p>
        </w:tc>
        <w:tc>
          <w:tcPr>
            <w:tcW w:w="20" w:type="dxa"/>
            <w:vAlign w:val="bottom"/>
            <w:tcBorders>
              <w:bottom w:val="single" w:sz="8" w:color="0000FF"/>
            </w:tcBorders>
          </w:tcPr>
          <w:p>
            <w:pPr>
              <w:spacing w:after="0"/>
              <w:rPr>
                <w:sz w:val="10"/>
                <w:szCs w:val="10"/>
                <w:color w:val="auto"/>
              </w:rPr>
            </w:pPr>
          </w:p>
        </w:tc>
      </w:tr>
      <w:tr>
        <w:trPr>
          <w:trHeight w:val="129"/>
        </w:trPr>
        <w:tc>
          <w:tcPr>
            <w:tcW w:w="1380" w:type="dxa"/>
            <w:vAlign w:val="bottom"/>
          </w:tcPr>
          <w:p>
            <w:pPr>
              <w:spacing w:after="0"/>
              <w:rPr>
                <w:sz w:val="11"/>
                <w:szCs w:val="11"/>
                <w:color w:val="auto"/>
              </w:rPr>
            </w:pPr>
          </w:p>
        </w:tc>
        <w:tc>
          <w:tcPr>
            <w:tcW w:w="2880" w:type="dxa"/>
            <w:vAlign w:val="bottom"/>
            <w:tcBorders>
              <w:bottom w:val="single" w:sz="8" w:color="0000FF"/>
            </w:tcBorders>
          </w:tcPr>
          <w:p>
            <w:pPr>
              <w:spacing w:after="0" w:line="129" w:lineRule="exact"/>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2025 filed on March 12, 2026 (File No. 0-21044)).</w:t>
              </w:r>
            </w:hyperlink>
          </w:p>
        </w:tc>
        <w:tc>
          <w:tcPr>
            <w:tcW w:w="6860" w:type="dxa"/>
            <w:vAlign w:val="bottom"/>
            <w:gridSpan w:val="7"/>
          </w:tcPr>
          <w:p>
            <w:pPr>
              <w:spacing w:after="0"/>
              <w:rPr>
                <w:sz w:val="11"/>
                <w:szCs w:val="11"/>
                <w:color w:val="auto"/>
              </w:rPr>
            </w:pP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Letter Agreement, dated as of March 13, 2026, by and between the Company and Ramzi Ammari</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Rule 13a-14(a) Certifications of the Chief Executive Officer (filed herewith)</w:t>
            </w:r>
          </w:p>
        </w:tc>
        <w:tc>
          <w:tcPr>
            <w:tcW w:w="1180" w:type="dxa"/>
            <w:vAlign w:val="bottom"/>
            <w:tcBorders>
              <w:top w:val="single" w:sz="8" w:color="0000FF"/>
            </w:tcBorders>
            <w:gridSpan w:val="2"/>
          </w:tcPr>
          <w:p>
            <w:pPr>
              <w:spacing w:after="0"/>
              <w:rPr>
                <w:sz w:val="17"/>
                <w:szCs w:val="17"/>
                <w:color w:val="auto"/>
              </w:rPr>
            </w:pPr>
          </w:p>
        </w:tc>
        <w:tc>
          <w:tcPr>
            <w:tcW w:w="4220" w:type="dxa"/>
            <w:vAlign w:val="bottom"/>
            <w:gridSpan w:val="4"/>
          </w:tcPr>
          <w:p>
            <w:pPr>
              <w:spacing w:after="0"/>
              <w:rPr>
                <w:sz w:val="17"/>
                <w:szCs w:val="17"/>
                <w:color w:val="auto"/>
              </w:rPr>
            </w:pPr>
          </w:p>
        </w:tc>
      </w:tr>
      <w:tr>
        <w:trPr>
          <w:trHeight w:val="245"/>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Rule 13a-14(a) Certifications of the Chief Financial Officer (principal financial officer and principal accounting officer) (filed herewith)</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5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Section 1350 Certifications of the Chief Executive Officer (furnished herewith)</w:t>
            </w:r>
          </w:p>
        </w:tc>
        <w:tc>
          <w:tcPr>
            <w:tcW w:w="3200" w:type="dxa"/>
            <w:vAlign w:val="bottom"/>
            <w:tcBorders>
              <w:top w:val="single" w:sz="8" w:color="0000FF"/>
            </w:tcBorders>
            <w:gridSpan w:val="2"/>
          </w:tcPr>
          <w:p>
            <w:pPr>
              <w:spacing w:after="0"/>
              <w:rPr>
                <w:sz w:val="17"/>
                <w:szCs w:val="17"/>
                <w:color w:val="auto"/>
              </w:rPr>
            </w:pPr>
          </w:p>
        </w:tc>
        <w:tc>
          <w:tcPr>
            <w:tcW w:w="2040" w:type="dxa"/>
            <w:vAlign w:val="bottom"/>
            <w:gridSpan w:val="3"/>
          </w:tcPr>
          <w:p>
            <w:pPr>
              <w:spacing w:after="0"/>
              <w:rPr>
                <w:sz w:val="17"/>
                <w:szCs w:val="17"/>
                <w:color w:val="auto"/>
              </w:rPr>
            </w:pP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7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Section 1350 Certifications of the Chief Financial Officer (principal financial officer and principal accounting officer) (furnished herewith)</w:t>
            </w:r>
          </w:p>
        </w:tc>
        <w:tc>
          <w:tcPr>
            <w:tcW w:w="1860" w:type="dxa"/>
            <w:vAlign w:val="bottom"/>
            <w:gridSpan w:val="2"/>
          </w:tcPr>
          <w:p>
            <w:pPr>
              <w:spacing w:after="0"/>
              <w:rPr>
                <w:sz w:val="17"/>
                <w:szCs w:val="17"/>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22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39" w:lineRule="exact"/>
        <w:rPr>
          <w:sz w:val="20"/>
          <w:szCs w:val="20"/>
          <w:color w:val="auto"/>
        </w:rPr>
      </w:pPr>
    </w:p>
    <w:p>
      <w:pPr>
        <w:ind w:left="1520" w:hanging="1384"/>
        <w:spacing w:after="0"/>
        <w:tabs>
          <w:tab w:leader="none" w:pos="15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6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or arrangement.</w:t>
      </w:r>
    </w:p>
    <w:p>
      <w:pPr>
        <w:spacing w:after="0" w:line="200" w:lineRule="exact"/>
        <w:rPr>
          <w:sz w:val="20"/>
          <w:szCs w:val="20"/>
          <w:color w:val="auto"/>
        </w:rPr>
      </w:pPr>
    </w:p>
    <w:p>
      <w:pPr>
        <w:ind w:firstLine="5"/>
        <w:spacing w:after="0" w:line="287" w:lineRule="auto"/>
        <w:tabs>
          <w:tab w:leader="none" w:pos="18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 hereto are deemed to accompany this Quarterly Report on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tabs>
          <w:tab w:leader="none" w:pos="740" w:val="left"/>
          <w:tab w:leader="none" w:pos="546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May 11, 2026</w:t>
      </w:r>
      <w:r>
        <w:rPr>
          <w:sz w:val="20"/>
          <w:szCs w:val="20"/>
          <w:color w:val="auto"/>
        </w:rPr>
        <w:tab/>
      </w:r>
      <w:r>
        <w:rPr>
          <w:rFonts w:ascii="Times New Roman" w:cs="Times New Roman" w:eastAsia="Times New Roman" w:hAnsi="Times New Roman"/>
          <w:sz w:val="14"/>
          <w:szCs w:val="14"/>
          <w:b w:val="1"/>
          <w:bCs w:val="1"/>
          <w:color w:val="auto"/>
        </w:rPr>
        <w:t>UNIVERSAL ELECTRONICS INC.</w:t>
      </w:r>
    </w:p>
    <w:p>
      <w:pPr>
        <w:spacing w:after="0" w:line="62" w:lineRule="exact"/>
        <w:rPr>
          <w:sz w:val="20"/>
          <w:szCs w:val="20"/>
          <w:color w:val="auto"/>
        </w:rPr>
      </w:pPr>
    </w:p>
    <w:tbl>
      <w:tblPr>
        <w:tblLayout w:type="fixed"/>
        <w:tblInd w:w="548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Wade M Jenke</w:t>
            </w:r>
          </w:p>
        </w:tc>
      </w:tr>
      <w:tr>
        <w:trPr>
          <w:trHeight w:val="167"/>
        </w:trPr>
        <w:tc>
          <w:tcPr>
            <w:tcW w:w="7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Wade M. Jenke</w:t>
            </w:r>
          </w:p>
        </w:tc>
      </w:tr>
      <w:tr>
        <w:trPr>
          <w:trHeight w:val="184"/>
        </w:trPr>
        <w:tc>
          <w:tcPr>
            <w:tcW w:w="7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120" w:right="319" w:bottom="144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K. Carnifax, certify that, certify that:</w:t>
      </w:r>
    </w:p>
    <w:p>
      <w:pPr>
        <w:spacing w:after="0" w:line="136"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Universal Electronics Inc.;</w:t>
      </w:r>
    </w:p>
    <w:p>
      <w:pPr>
        <w:spacing w:after="0" w:line="13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260" w:firstLine="127"/>
        <w:spacing w:after="0" w:line="287" w:lineRule="auto"/>
        <w:tabs>
          <w:tab w:leader="none" w:pos="546"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260" w:firstLine="127"/>
        <w:spacing w:after="0" w:line="287" w:lineRule="auto"/>
        <w:tabs>
          <w:tab w:leader="none" w:pos="5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260" w:firstLine="127"/>
        <w:spacing w:after="0" w:line="287" w:lineRule="auto"/>
        <w:tabs>
          <w:tab w:leader="none" w:pos="57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260" w:firstLine="127"/>
        <w:spacing w:after="0" w:line="287" w:lineRule="auto"/>
        <w:tabs>
          <w:tab w:leader="none" w:pos="544"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rFonts w:ascii="Times New Roman" w:cs="Times New Roman" w:eastAsia="Times New Roman" w:hAnsi="Times New Roman"/>
          <w:sz w:val="14"/>
          <w:szCs w:val="14"/>
          <w:color w:val="auto"/>
        </w:rPr>
      </w:pPr>
    </w:p>
    <w:p>
      <w:pPr>
        <w:ind w:left="260" w:firstLine="127"/>
        <w:spacing w:after="0" w:line="287" w:lineRule="auto"/>
        <w:tabs>
          <w:tab w:leader="none" w:pos="55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540" w:hanging="153"/>
        <w:spacing w:after="0"/>
        <w:tabs>
          <w:tab w:leader="none" w:pos="5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11, 2026</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Richard K Carnifax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2974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Richard K Carnifax</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Interim Chief Executive Officer</w:t>
      </w: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Wade M. Jenke, certify that:</w:t>
      </w:r>
    </w:p>
    <w:p>
      <w:pPr>
        <w:spacing w:after="0" w:line="136" w:lineRule="exact"/>
        <w:rPr>
          <w:sz w:val="20"/>
          <w:szCs w:val="20"/>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Universal Electronics Inc.;</w:t>
      </w:r>
    </w:p>
    <w:p>
      <w:pPr>
        <w:spacing w:after="0" w:line="13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4"/>
          <w:szCs w:val="14"/>
          <w:color w:val="auto"/>
        </w:rPr>
      </w:pPr>
    </w:p>
    <w:p>
      <w:pPr>
        <w:ind w:left="260" w:firstLine="127"/>
        <w:spacing w:after="0" w:line="287" w:lineRule="auto"/>
        <w:tabs>
          <w:tab w:leader="none" w:pos="546"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Times New Roman" w:cs="Times New Roman" w:eastAsia="Times New Roman" w:hAnsi="Times New Roman"/>
          <w:sz w:val="14"/>
          <w:szCs w:val="14"/>
          <w:color w:val="auto"/>
        </w:rPr>
      </w:pPr>
    </w:p>
    <w:p>
      <w:pPr>
        <w:ind w:left="260" w:firstLine="127"/>
        <w:spacing w:after="0" w:line="287" w:lineRule="auto"/>
        <w:tabs>
          <w:tab w:leader="none" w:pos="5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260" w:firstLine="127"/>
        <w:spacing w:after="0" w:line="287" w:lineRule="auto"/>
        <w:tabs>
          <w:tab w:leader="none" w:pos="57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Times New Roman" w:cs="Times New Roman" w:eastAsia="Times New Roman" w:hAnsi="Times New Roman"/>
          <w:sz w:val="14"/>
          <w:szCs w:val="14"/>
          <w:color w:val="auto"/>
        </w:rPr>
      </w:pPr>
    </w:p>
    <w:p>
      <w:pPr>
        <w:ind w:left="260" w:firstLine="127"/>
        <w:spacing w:after="0" w:line="287" w:lineRule="auto"/>
        <w:tabs>
          <w:tab w:leader="none" w:pos="544"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260" w:firstLine="127"/>
        <w:spacing w:after="0" w:line="287" w:lineRule="auto"/>
        <w:tabs>
          <w:tab w:leader="none" w:pos="55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540" w:hanging="153"/>
        <w:spacing w:after="0"/>
        <w:tabs>
          <w:tab w:leader="none" w:pos="54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11, 2026</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Wade M. Jenke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29743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297430"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Wade M Jenke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Chief Financial Officer</w:t>
      </w:r>
    </w:p>
    <w:p>
      <w:pPr>
        <w:ind w:left="20"/>
        <w:spacing w:after="0" w:line="205" w:lineRule="auto"/>
        <w:rPr>
          <w:sz w:val="20"/>
          <w:szCs w:val="20"/>
          <w:color w:val="auto"/>
        </w:rPr>
      </w:pPr>
      <w:r>
        <w:rPr>
          <w:rFonts w:ascii="Times New Roman" w:cs="Times New Roman" w:eastAsia="Times New Roman" w:hAnsi="Times New Roman"/>
          <w:sz w:val="14"/>
          <w:szCs w:val="14"/>
          <w:color w:val="auto"/>
        </w:rPr>
        <w:t>(principal financial officer</w:t>
      </w:r>
    </w:p>
    <w:p>
      <w:pPr>
        <w:ind w:left="20"/>
        <w:spacing w:after="0"/>
        <w:rPr>
          <w:sz w:val="20"/>
          <w:szCs w:val="20"/>
          <w:color w:val="auto"/>
        </w:rPr>
      </w:pPr>
      <w:r>
        <w:rPr>
          <w:rFonts w:ascii="Times New Roman" w:cs="Times New Roman" w:eastAsia="Times New Roman" w:hAnsi="Times New Roman"/>
          <w:sz w:val="14"/>
          <w:szCs w:val="14"/>
          <w:color w:val="auto"/>
        </w:rPr>
        <w:t>and principal accounting officer)</w:t>
      </w:r>
    </w:p>
    <w:p>
      <w:pPr>
        <w:sectPr>
          <w:pgSz w:w="11900" w:h="16838" w:orient="portrait"/>
          <w:cols w:equalWidth="0" w:num="1">
            <w:col w:w="11280"/>
          </w:cols>
          <w:pgMar w:left="300" w:top="727"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1350 CERTIFICATIONS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18 U.S.C. Section 1350, as adopted pursuant to Section 906 of the Sarbanes-Oxley Act of 2002, the undersigned officer of Universal Electronics Inc. (the "Company"), hereby certifies that the (i) Company's Form 10-Q for the fiscal quarter ended March 31, 2026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720" w:val="left"/>
          <w:tab w:leader="none" w:pos="6460" w:val="left"/>
          <w:tab w:leader="none" w:pos="678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May 11,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Richard K. Carnifax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15875</wp:posOffset>
            </wp:positionV>
            <wp:extent cx="28498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49880" cy="6985"/>
                    </a:xfrm>
                    <a:prstGeom prst="rect">
                      <a:avLst/>
                    </a:prstGeom>
                    <a:noFill/>
                  </pic:spPr>
                </pic:pic>
              </a:graphicData>
            </a:graphic>
          </wp:anchor>
        </w:drawing>
      </w:r>
    </w:p>
    <w:p>
      <w:pPr>
        <w:spacing w:after="0" w:line="1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Richard K. Carnifax</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Interim Chief Executive Officer</w:t>
      </w:r>
    </w:p>
    <w:p>
      <w:pPr>
        <w:spacing w:after="0" w:line="1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3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 signed original of this written statement has been provided to Universal Electronics Inc. and will be retained by it and furnished to the Securities and Exchange Commission or its staff upon request.</w:t>
      </w:r>
    </w:p>
    <w:p>
      <w:pPr>
        <w:sectPr>
          <w:pgSz w:w="11900" w:h="16838" w:orient="portrait"/>
          <w:cols w:equalWidth="0" w:num="1">
            <w:col w:w="11280"/>
          </w:cols>
          <w:pgMar w:left="300" w:top="728"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1350 CERTIFICATIONS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18 U.S.C. Section 1350, as adopted pursuant to Section 906 of the Sarbanes-Oxley Act of 2002, the undersigned officer of Universal Electronics Inc. (the "Company"), hereby certifies that the (i) Company's Form 10-Q for the fiscal quarter ended March 31, 2026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720" w:val="left"/>
          <w:tab w:leader="none" w:pos="5180" w:val="left"/>
          <w:tab w:leader="none" w:pos="55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May 11,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Wade M Jenke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15875</wp:posOffset>
            </wp:positionV>
            <wp:extent cx="341566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Wade M Jenke</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3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amp;"/>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3"/>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2" Type="http://schemas.openxmlformats.org/officeDocument/2006/relationships/hyperlink" Target="https://www.sec.gov/Archives/edgar/data/101984/000010198426000039/twelfthamendmenttosecond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2026-05-11T15:24:38Z</dcterms:created>
  <dcterms:modified xsi:type="dcterms:W3CDTF">2026-05-11T15:24:38Z</dcterms:modified>
</cp:coreProperties>
</file>