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_______________________________________ </w:t>
      </w:r>
      <w:r>
        <w:rPr>
          <w:color w:val="000000"/>
        </w:rPr>
        <w:t> </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_______________________________________ </w:t>
      </w: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21, 2026 </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_______________________________________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6"/>
        </w:rPr>
        <w:t>_______________________________________</w:t>
      </w:r>
    </w:p>
    <w:p>
      <w:pPr>
        <w:pStyle w:val="TextBody"/>
        <w:bidi w:val="0"/>
        <w:spacing w:lineRule="auto" w:line="288" w:before="0" w:after="0"/>
        <w:jc w:val="left"/>
        <w:rPr>
          <w:color w:val="000000"/>
        </w:rPr>
      </w:pPr>
      <w:r>
        <w:rPr>
          <w:color w:val="000000"/>
        </w:rPr>
        <w:t> </w:t>
      </w:r>
    </w:p>
    <w:tbl>
      <w:tblPr>
        <w:tblW w:w="5917"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568"/>
        <w:gridCol w:w="568"/>
        <w:gridCol w:w="574"/>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33-0204817</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15147 N. Scottsdale Road, Suite H300, Scottsdale, Arizona 85254-2494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(480) 530-3000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________________________________________________________________________________________________</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8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tbl>
      <w:tblPr>
        <w:tblW w:w="8820" w:type="dxa"/>
        <w:jc w:val="center"/>
        <w:tblInd w:w="0" w:type="dxa"/>
        <w:tblLayout w:type="fixed"/>
        <w:tblCellMar>
          <w:top w:w="28" w:type="dxa"/>
          <w:left w:w="28" w:type="dxa"/>
          <w:bottom w:w="28" w:type="dxa"/>
          <w:right w:w="28" w:type="dxa"/>
        </w:tblCellMar>
      </w:tblPr>
      <w:tblGrid>
        <w:gridCol w:w="1267"/>
        <w:gridCol w:w="1114"/>
        <w:gridCol w:w="1114"/>
        <w:gridCol w:w="540"/>
        <w:gridCol w:w="540"/>
        <w:gridCol w:w="540"/>
        <w:gridCol w:w="1085"/>
        <w:gridCol w:w="1085"/>
        <w:gridCol w:w="1535"/>
      </w:tblGrid>
      <w:tr>
        <w:trP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8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49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20"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UEIC</w:t>
            </w:r>
          </w:p>
        </w:tc>
        <w:tc>
          <w:tcPr>
            <w:tcW w:w="370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righ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21, 2026, Universal Electronics Inc. (the "Company") entered into a Third Amended and Restated Credit Agreement (the “Third Amended and Restated Credit Agreement”) with the lenders from time to time parties thereto and U.S. Bank National Association (“U.S. Bank”), as administrative agent. The Third Amended and Restated Credit Agreement amends and restates that certain Second Amended and Restated Credit Agreement dated as of October 27, 2017, by and between the Company, the lenders from time to time parties thereto and U.S. Bank, as amended (the “Credit Agreement”), to, among other things, revise (i) certain definitions related to the calculations of the borrowing base, (ii) the consolidated fixed charge coverage ratio covenant and (iii) the consolidated cash flow leverage ratio covenant set forth in the Credit Agreement. All other provisions of the Credit Agreement remain substantially the same.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Third Amended and Restated Credit Agreement does not purport to be complete and is qualified in its entirety by reference to the full text of the Third Amended and Restated Credit Agreement, which is filed as Exhibit 10.1 to this Current Report on Form 8-K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 The following exhibits are furnished with this report.</w:t>
      </w:r>
    </w:p>
    <w:p>
      <w:pPr>
        <w:pStyle w:val="TextBody"/>
        <w:bidi w:val="0"/>
        <w:spacing w:before="0" w:after="0"/>
        <w:jc w:val="left"/>
        <w:rPr/>
      </w:pPr>
      <w:r>
        <w:rPr/>
      </w:r>
    </w:p>
    <w:tbl>
      <w:tblPr>
        <w:tblW w:w="863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112"/>
        <w:gridCol w:w="2112"/>
        <w:gridCol w:w="300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sbankthirdamendedandresta.htm">
              <w:r>
                <w:rPr>
                  <w:rStyle w:val="InternetLink"/>
                  <w:rFonts w:ascii="Times New Roman;serif" w:hAnsi="Times New Roman;serif"/>
                  <w:b w:val="false"/>
                  <w:color w:val="0000FF"/>
                  <w:sz w:val="20"/>
                  <w:u w:val="single"/>
                </w:rPr>
                <w:t>Third Amended and Restated Credit Agreement, dated August 21, 2026 (filed herewith)</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color w:val="000000"/>
                <w:sz w:val="20"/>
              </w:rPr>
            </w:pPr>
            <w:r>
              <w:rPr>
                <w:rFonts w:ascii="Times New Roman;serif" w:hAnsi="Times New Roman;serif"/>
                <w:b w:val="false"/>
                <w:color w:val="000000"/>
                <w:sz w:val="20"/>
              </w:rPr>
              <w:t>Cover Page to this Current Report on Form 8-K, formatted in Inline XBRL</w:t>
            </w:r>
          </w:p>
          <w:p>
            <w:pPr>
              <w:pStyle w:val="TableContents"/>
              <w:bidi w:val="0"/>
              <w:spacing w:before="0" w:after="0"/>
              <w:jc w:val="both"/>
              <w:rPr/>
            </w:pPr>
            <w:r>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*Schedules (or similar attachments) to this Exhibit have been omitted in accordance with Item 601(a)(5) of Regulation S-K. The Registrant agrees to furnish supplementally a copy of all omitted schedules to the SEC on a confidential basis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438"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237"/>
        <w:gridCol w:w="237"/>
        <w:gridCol w:w="237"/>
        <w:gridCol w:w="237"/>
        <w:gridCol w:w="237"/>
        <w:gridCol w:w="237"/>
        <w:gridCol w:w="608"/>
        <w:gridCol w:w="608"/>
        <w:gridCol w:w="86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Universal Electronics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Sui Man Ho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Sui Man (Raymond) Ho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79" w:after="283"/>
        <w:jc w:val="right"/>
        <w:rPr>
          <w:rFonts w:ascii="Times New Roman;serif" w:hAnsi="Times New Roman;serif"/>
          <w:b/>
          <w:color w:val="000000"/>
          <w:sz w:val="22"/>
        </w:rPr>
      </w:pPr>
      <w:r>
        <w:rPr>
          <w:rFonts w:ascii="Times New Roman;serif" w:hAnsi="Times New Roman;serif"/>
          <w:b/>
          <w:color w:val="000000"/>
          <w:sz w:val="22"/>
        </w:rPr>
        <w:t>Deal CUSIP: 91348CAA1</w:t>
      </w:r>
    </w:p>
    <w:p>
      <w:pPr>
        <w:pStyle w:val="TextBody"/>
        <w:bidi w:val="0"/>
        <w:spacing w:lineRule="auto" w:line="288" w:before="1" w:after="283"/>
        <w:jc w:val="right"/>
        <w:rPr>
          <w:rFonts w:ascii="Times New Roman;serif" w:hAnsi="Times New Roman;serif"/>
          <w:b/>
          <w:color w:val="000000"/>
          <w:sz w:val="22"/>
        </w:rPr>
      </w:pPr>
      <w:r>
        <w:rPr>
          <w:rFonts w:ascii="Times New Roman;serif" w:hAnsi="Times New Roman;serif"/>
          <w:b/>
          <w:color w:val="000000"/>
          <w:sz w:val="22"/>
        </w:rPr>
        <w:t>Revolving Loan CUSIP: 91348CAB9</w:t>
      </w:r>
    </w:p>
    <w:p>
      <w:pPr>
        <w:pStyle w:val="TextBody"/>
        <w:bidi w:val="0"/>
        <w:spacing w:before="9" w:after="283"/>
        <w:jc w:val="left"/>
        <w:rPr/>
      </w:pPr>
      <w:r>
        <w:rPr/>
        <w:drawing>
          <wp:inline distT="0" distB="0" distL="0" distR="0">
            <wp:extent cx="5915025" cy="1460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915025" cy="14605"/>
                    </a:xfrm>
                    <a:prstGeom prst="rect">
                      <a:avLst/>
                    </a:prstGeom>
                  </pic:spPr>
                </pic:pic>
              </a:graphicData>
            </a:graphic>
          </wp:inline>
        </w:drawing>
      </w:r>
    </w:p>
    <w:p>
      <w:pPr>
        <w:pStyle w:val="TextBody"/>
        <w:bidi w:val="0"/>
        <w:spacing w:before="228" w:after="283"/>
        <w:jc w:val="left"/>
        <w:rPr/>
      </w:pPr>
      <w:r>
        <w:rPr/>
      </w:r>
    </w:p>
    <w:p>
      <w:pPr>
        <w:pStyle w:val="TextBody"/>
        <w:bidi w:val="0"/>
        <w:spacing w:lineRule="auto" w:line="540" w:before="0" w:after="0"/>
        <w:ind w:left="0" w:right="0" w:hanging="1539"/>
        <w:jc w:val="left"/>
        <w:rPr>
          <w:rFonts w:ascii="Times New Roman;serif" w:hAnsi="Times New Roman;serif"/>
          <w:b/>
          <w:color w:val="000000"/>
          <w:sz w:val="22"/>
        </w:rPr>
      </w:pPr>
      <w:r>
        <w:rPr>
          <w:rFonts w:ascii="Times New Roman;serif" w:hAnsi="Times New Roman;serif"/>
          <w:b/>
          <w:color w:val="000000"/>
          <w:sz w:val="22"/>
        </w:rPr>
        <w:t>THIRD AMENDED AND RESTATED CREDIT AGREEMENT DATED AS OF August 21, 2026</w:t>
      </w:r>
    </w:p>
    <w:p>
      <w:pPr>
        <w:pStyle w:val="TextBody"/>
        <w:bidi w:val="0"/>
        <w:spacing w:lineRule="auto" w:line="540" w:before="5" w:after="283"/>
        <w:ind w:left="0" w:right="0" w:firstLine="1298"/>
        <w:jc w:val="left"/>
        <w:rPr>
          <w:rFonts w:ascii="Times New Roman;serif" w:hAnsi="Times New Roman;serif"/>
          <w:b/>
          <w:color w:val="000000"/>
          <w:sz w:val="22"/>
        </w:rPr>
      </w:pPr>
      <w:r>
        <w:rPr>
          <w:rFonts w:ascii="Times New Roman;serif" w:hAnsi="Times New Roman;serif"/>
          <w:b/>
          <w:color w:val="000000"/>
          <w:sz w:val="22"/>
        </w:rPr>
        <w:t>AMONG UNIVERSAL ELECTRONICS INC.</w:t>
      </w:r>
    </w:p>
    <w:p>
      <w:pPr>
        <w:pStyle w:val="TextBody"/>
        <w:bidi w:val="0"/>
        <w:spacing w:lineRule="auto" w:line="288" w:before="4" w:after="283"/>
        <w:jc w:val="left"/>
        <w:rPr>
          <w:rFonts w:ascii="Times New Roman;serif" w:hAnsi="Times New Roman;serif"/>
          <w:b/>
          <w:color w:val="000000"/>
          <w:sz w:val="22"/>
        </w:rPr>
      </w:pPr>
      <w:r>
        <w:rPr>
          <w:rFonts w:ascii="Times New Roman;serif" w:hAnsi="Times New Roman;serif"/>
          <w:b/>
          <w:color w:val="000000"/>
          <w:sz w:val="22"/>
        </w:rPr>
        <w:t>THE LENDERS,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U.S. BANK NATIONAL ASSOCIATION,</w:t>
      </w:r>
    </w:p>
    <w:p>
      <w:pPr>
        <w:pStyle w:val="TextBody"/>
        <w:bidi w:val="0"/>
        <w:spacing w:lineRule="auto" w:line="542" w:before="239" w:after="283"/>
        <w:ind w:left="0" w:right="0" w:hanging="1506"/>
        <w:jc w:val="left"/>
        <w:rPr>
          <w:rFonts w:ascii="Times New Roman;serif" w:hAnsi="Times New Roman;serif"/>
          <w:b/>
          <w:color w:val="000000"/>
          <w:sz w:val="22"/>
        </w:rPr>
      </w:pPr>
      <w:r>
        <w:rPr>
          <w:rFonts w:ascii="Times New Roman;serif" w:hAnsi="Times New Roman;serif"/>
          <w:b/>
          <w:color w:val="000000"/>
          <w:sz w:val="22"/>
        </w:rPr>
        <w:t>AS ADMINISTRATIVE AGENT, SOLE LEAD ARRANGER AND SOLE BOOK RUNNER</w:t>
      </w:r>
    </w:p>
    <w:p>
      <w:pPr>
        <w:pStyle w:val="TextBody"/>
        <w:bidi w:val="0"/>
        <w:spacing w:before="109" w:after="283"/>
        <w:jc w:val="left"/>
        <w:rPr/>
      </w:pPr>
      <w:r>
        <w:rPr/>
        <w:drawing>
          <wp:inline distT="0" distB="0" distL="0" distR="0">
            <wp:extent cx="5924550" cy="1460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5924550" cy="1460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4" w:after="283"/>
        <w:jc w:val="left"/>
        <w:rPr/>
      </w:pPr>
      <w:r>
        <w:rPr/>
      </w:r>
    </w:p>
    <w:p>
      <w:pPr>
        <w:pStyle w:val="TextBody"/>
        <w:bidi w:val="0"/>
        <w:spacing w:lineRule="auto" w:line="288" w:before="61" w:after="283"/>
        <w:jc w:val="center"/>
        <w:rPr>
          <w:rFonts w:ascii="Times New Roman;serif" w:hAnsi="Times New Roman;serif"/>
          <w:b/>
          <w:color w:val="000000"/>
          <w:sz w:val="22"/>
          <w:u w:val="single"/>
        </w:rPr>
      </w:pPr>
      <w:r>
        <w:rPr>
          <w:rFonts w:ascii="Times New Roman;serif" w:hAnsi="Times New Roman;serif"/>
          <w:b/>
          <w:color w:val="000000"/>
          <w:sz w:val="22"/>
          <w:u w:val="single"/>
        </w:rPr>
        <w:t>Table of Contents</w:t>
      </w:r>
    </w:p>
    <w:p>
      <w:pPr>
        <w:pStyle w:val="TextBody"/>
        <w:bidi w:val="0"/>
        <w:spacing w:lineRule="auto" w:line="288" w:before="237" w:after="283"/>
        <w:jc w:val="right"/>
        <w:rPr>
          <w:rFonts w:ascii="Times New Roman;serif" w:hAnsi="Times New Roman;serif"/>
          <w:b/>
          <w:color w:val="000000"/>
          <w:sz w:val="22"/>
          <w:u w:val="single"/>
        </w:rPr>
      </w:pPr>
      <w:r>
        <w:rPr>
          <w:rFonts w:ascii="Times New Roman;serif" w:hAnsi="Times New Roman;serif"/>
          <w:b/>
          <w:color w:val="000000"/>
          <w:sz w:val="22"/>
          <w:u w:val="single"/>
        </w:rPr>
        <w:t>Page</w:t>
      </w:r>
    </w:p>
    <w:p>
      <w:pPr>
        <w:pStyle w:val="TextBody"/>
        <w:bidi w:val="0"/>
        <w:spacing w:lineRule="auto" w:line="288" w:before="244" w:after="283"/>
        <w:jc w:val="left"/>
        <w:rPr/>
      </w:pPr>
      <w:hyperlink w:anchor="i928bbdb1582a49208efe7f01535cf16b_13">
        <w:r>
          <w:rPr>
            <w:rStyle w:val="InternetLink"/>
          </w:rPr>
          <w:t>ARTICLE I DEFINITIONS</w:t>
        </w:r>
      </w:hyperlink>
      <w:hyperlink w:anchor="i928bbdb1582a49208efe7f01535cf16b_13">
        <w:r>
          <w:rPr>
            <w:rStyle w:val="InternetLink"/>
          </w:rPr>
          <w:t>    </w:t>
        </w:r>
      </w:hyperlink>
      <w:hyperlink w:anchor="i928bbdb1582a49208efe7f01535cf16b_13">
        <w:r>
          <w:rPr>
            <w:rStyle w:val="InternetLink"/>
          </w:rPr>
          <w:t>1</w:t>
        </w:r>
      </w:hyperlink>
    </w:p>
    <w:p>
      <w:pPr>
        <w:pStyle w:val="TextBody"/>
        <w:bidi w:val="0"/>
        <w:spacing w:lineRule="auto" w:line="288" w:before="236" w:after="283"/>
        <w:ind w:left="0" w:right="0" w:hanging="720"/>
        <w:jc w:val="left"/>
        <w:rPr/>
      </w:pPr>
      <w:r>
        <w:rPr>
          <w:rFonts w:ascii="Times New Roman;serif" w:hAnsi="Times New Roman;serif"/>
          <w:b w:val="false"/>
          <w:color w:val="000000"/>
          <w:sz w:val="22"/>
        </w:rPr>
        <w:t>1.1.</w:t>
      </w:r>
      <w:hyperlink w:anchor="i928bbdb1582a49208efe7f01535cf16b_13">
        <w:r>
          <w:rPr>
            <w:rStyle w:val="InternetLink"/>
          </w:rPr>
          <w:t>Definitions</w:t>
        </w:r>
      </w:hyperlink>
      <w:hyperlink w:anchor="i928bbdb1582a49208efe7f01535cf16b_13">
        <w:r>
          <w:rPr>
            <w:rStyle w:val="InternetLink"/>
          </w:rPr>
          <w:t>    </w:t>
        </w:r>
      </w:hyperlink>
      <w:hyperlink w:anchor="i928bbdb1582a49208efe7f01535cf16b_13">
        <w:r>
          <w:rPr>
            <w:rStyle w:val="InternetLink"/>
          </w:rPr>
          <w:t>1</w:t>
        </w:r>
      </w:hyperlink>
    </w:p>
    <w:p>
      <w:pPr>
        <w:pStyle w:val="TextBody"/>
        <w:bidi w:val="0"/>
        <w:spacing w:lineRule="atLeast" w:line="252" w:before="2" w:after="283"/>
        <w:ind w:left="0" w:right="0" w:hanging="720"/>
        <w:jc w:val="left"/>
        <w:rPr/>
      </w:pPr>
      <w:r>
        <w:rPr>
          <w:rFonts w:ascii="Times New Roman;serif" w:hAnsi="Times New Roman;serif"/>
          <w:b w:val="false"/>
          <w:color w:val="000000"/>
          <w:sz w:val="22"/>
        </w:rPr>
        <w:t>1.2.</w:t>
      </w:r>
      <w:hyperlink w:anchor="i928bbdb1582a49208efe7f01535cf16b_22">
        <w:r>
          <w:rPr>
            <w:rStyle w:val="InternetLink"/>
          </w:rPr>
          <w:t>Loan Classes</w:t>
        </w:r>
      </w:hyperlink>
      <w:hyperlink w:anchor="i928bbdb1582a49208efe7f01535cf16b_22">
        <w:r>
          <w:rPr>
            <w:rStyle w:val="InternetLink"/>
          </w:rPr>
          <w:t>    </w:t>
        </w:r>
      </w:hyperlink>
      <w:hyperlink w:anchor="i928bbdb1582a49208efe7f01535cf16b_22">
        <w:r>
          <w:rPr>
            <w:rStyle w:val="InternetLink"/>
          </w:rPr>
          <w:t>23</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1.3.</w:t>
      </w:r>
      <w:hyperlink w:anchor="i928bbdb1582a49208efe7f01535cf16b_22">
        <w:r>
          <w:rPr>
            <w:rStyle w:val="InternetLink"/>
          </w:rPr>
          <w:t>Computation of Time Periods</w:t>
        </w:r>
      </w:hyperlink>
      <w:hyperlink w:anchor="i928bbdb1582a49208efe7f01535cf16b_22">
        <w:r>
          <w:rPr>
            <w:rStyle w:val="InternetLink"/>
          </w:rPr>
          <w:t>    </w:t>
        </w:r>
      </w:hyperlink>
      <w:hyperlink w:anchor="i928bbdb1582a49208efe7f01535cf16b_22">
        <w:r>
          <w:rPr>
            <w:rStyle w:val="InternetLink"/>
          </w:rPr>
          <w:t>23</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1.4.</w:t>
      </w:r>
      <w:hyperlink w:anchor="i928bbdb1582a49208efe7f01535cf16b_22">
        <w:r>
          <w:rPr>
            <w:rStyle w:val="InternetLink"/>
          </w:rPr>
          <w:t>Other Definitional Terms; Interpretative Provisions</w:t>
        </w:r>
      </w:hyperlink>
      <w:hyperlink w:anchor="i928bbdb1582a49208efe7f01535cf16b_22">
        <w:r>
          <w:rPr>
            <w:rStyle w:val="InternetLink"/>
          </w:rPr>
          <w:t>    </w:t>
        </w:r>
      </w:hyperlink>
      <w:hyperlink w:anchor="i928bbdb1582a49208efe7f01535cf16b_22">
        <w:r>
          <w:rPr>
            <w:rStyle w:val="InternetLink"/>
          </w:rPr>
          <w:t>23</w:t>
        </w:r>
      </w:hyperlink>
    </w:p>
    <w:p>
      <w:pPr>
        <w:pStyle w:val="TextBody"/>
        <w:bidi w:val="0"/>
        <w:spacing w:lineRule="auto" w:line="288" w:before="1" w:after="283"/>
        <w:ind w:left="0" w:right="0" w:hanging="720"/>
        <w:jc w:val="left"/>
        <w:rPr/>
      </w:pPr>
      <w:r>
        <w:rPr>
          <w:rFonts w:ascii="Times New Roman;serif" w:hAnsi="Times New Roman;serif"/>
          <w:b w:val="false"/>
          <w:color w:val="000000"/>
          <w:sz w:val="22"/>
        </w:rPr>
        <w:t>1.5.</w:t>
      </w:r>
      <w:hyperlink w:anchor="i928bbdb1582a49208efe7f01535cf16b_22">
        <w:r>
          <w:rPr>
            <w:rStyle w:val="InternetLink"/>
          </w:rPr>
          <w:t>Rates</w:t>
        </w:r>
      </w:hyperlink>
      <w:hyperlink w:anchor="i928bbdb1582a49208efe7f01535cf16b_22">
        <w:r>
          <w:rPr>
            <w:rStyle w:val="InternetLink"/>
          </w:rPr>
          <w:t>    </w:t>
        </w:r>
      </w:hyperlink>
      <w:hyperlink w:anchor="i928bbdb1582a49208efe7f01535cf16b_22">
        <w:r>
          <w:rPr>
            <w:rStyle w:val="InternetLink"/>
          </w:rPr>
          <w:t>24</w:t>
        </w:r>
      </w:hyperlink>
    </w:p>
    <w:p>
      <w:pPr>
        <w:pStyle w:val="TextBody"/>
        <w:bidi w:val="0"/>
        <w:spacing w:lineRule="auto" w:line="288" w:before="241" w:after="283"/>
        <w:jc w:val="left"/>
        <w:rPr/>
      </w:pPr>
      <w:hyperlink w:anchor="i928bbdb1582a49208efe7f01535cf16b_22">
        <w:r>
          <w:rPr>
            <w:rStyle w:val="InternetLink"/>
          </w:rPr>
          <w:t>ARTICLE II THE CREDITS</w:t>
        </w:r>
      </w:hyperlink>
      <w:hyperlink w:anchor="i928bbdb1582a49208efe7f01535cf16b_22">
        <w:r>
          <w:rPr>
            <w:rStyle w:val="InternetLink"/>
          </w:rPr>
          <w:t>    </w:t>
        </w:r>
      </w:hyperlink>
      <w:hyperlink w:anchor="i928bbdb1582a49208efe7f01535cf16b_22">
        <w:r>
          <w:rPr>
            <w:rStyle w:val="InternetLink"/>
          </w:rPr>
          <w:t>24</w:t>
        </w:r>
      </w:hyperlink>
    </w:p>
    <w:p>
      <w:pPr>
        <w:pStyle w:val="TextBody"/>
        <w:bidi w:val="0"/>
        <w:spacing w:lineRule="atLeast" w:line="252" w:before="240" w:after="283"/>
        <w:ind w:left="0" w:right="0" w:hanging="720"/>
        <w:jc w:val="left"/>
        <w:rPr/>
      </w:pPr>
      <w:r>
        <w:rPr>
          <w:rFonts w:ascii="Times New Roman;serif" w:hAnsi="Times New Roman;serif"/>
          <w:b w:val="false"/>
          <w:color w:val="000000"/>
          <w:sz w:val="22"/>
        </w:rPr>
        <w:t>1.1.</w:t>
      </w:r>
      <w:hyperlink w:anchor="i928bbdb1582a49208efe7f01535cf16b_22">
        <w:r>
          <w:rPr>
            <w:rStyle w:val="InternetLink"/>
          </w:rPr>
          <w:t>Revolving Loans</w:t>
        </w:r>
      </w:hyperlink>
      <w:hyperlink w:anchor="i928bbdb1582a49208efe7f01535cf16b_22">
        <w:r>
          <w:rPr>
            <w:rStyle w:val="InternetLink"/>
          </w:rPr>
          <w:t>    </w:t>
        </w:r>
      </w:hyperlink>
      <w:hyperlink w:anchor="i928bbdb1582a49208efe7f01535cf16b_22">
        <w:r>
          <w:rPr>
            <w:rStyle w:val="InternetLink"/>
          </w:rPr>
          <w:t>24</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w:t>
      </w:r>
      <w:hyperlink w:anchor="i928bbdb1582a49208efe7f01535cf16b_22">
        <w:r>
          <w:rPr>
            <w:rStyle w:val="InternetLink"/>
          </w:rPr>
          <w:t>Determination of Amounts; Required Payments; Termination</w:t>
        </w:r>
      </w:hyperlink>
      <w:hyperlink w:anchor="i928bbdb1582a49208efe7f01535cf16b_22">
        <w:r>
          <w:rPr>
            <w:rStyle w:val="InternetLink"/>
          </w:rPr>
          <w:t>    </w:t>
        </w:r>
      </w:hyperlink>
      <w:hyperlink w:anchor="i928bbdb1582a49208efe7f01535cf16b_22">
        <w:r>
          <w:rPr>
            <w:rStyle w:val="InternetLink"/>
          </w:rPr>
          <w:t>24</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1.3.</w:t>
      </w:r>
      <w:hyperlink w:anchor="i928bbdb1582a49208efe7f01535cf16b_22">
        <w:r>
          <w:rPr>
            <w:rStyle w:val="InternetLink"/>
          </w:rPr>
          <w:t>Ratable Loans; Types of Borrowings</w:t>
        </w:r>
      </w:hyperlink>
      <w:hyperlink w:anchor="i928bbdb1582a49208efe7f01535cf16b_22">
        <w:r>
          <w:rPr>
            <w:rStyle w:val="InternetLink"/>
          </w:rPr>
          <w:t>    </w:t>
        </w:r>
      </w:hyperlink>
      <w:hyperlink w:anchor="i928bbdb1582a49208efe7f01535cf16b_22">
        <w:r>
          <w:rPr>
            <w:rStyle w:val="InternetLink"/>
          </w:rPr>
          <w:t>25</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1.4.</w:t>
      </w:r>
      <w:hyperlink w:anchor="i928bbdb1582a49208efe7f01535cf16b_22">
        <w:r>
          <w:rPr>
            <w:rStyle w:val="InternetLink"/>
          </w:rPr>
          <w:t>Swing Line Loans</w:t>
        </w:r>
      </w:hyperlink>
      <w:hyperlink w:anchor="i928bbdb1582a49208efe7f01535cf16b_22">
        <w:r>
          <w:rPr>
            <w:rStyle w:val="InternetLink"/>
          </w:rPr>
          <w:t>    </w:t>
        </w:r>
      </w:hyperlink>
      <w:hyperlink w:anchor="i928bbdb1582a49208efe7f01535cf16b_22">
        <w:r>
          <w:rPr>
            <w:rStyle w:val="InternetLink"/>
          </w:rPr>
          <w:t>25</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1.5.</w:t>
      </w:r>
      <w:hyperlink w:anchor="i928bbdb1582a49208efe7f01535cf16b_22">
        <w:r>
          <w:rPr>
            <w:rStyle w:val="InternetLink"/>
          </w:rPr>
          <w:t>Fees</w:t>
        </w:r>
      </w:hyperlink>
      <w:hyperlink w:anchor="i928bbdb1582a49208efe7f01535cf16b_22">
        <w:r>
          <w:rPr>
            <w:rStyle w:val="InternetLink"/>
          </w:rPr>
          <w:t>    </w:t>
        </w:r>
      </w:hyperlink>
      <w:hyperlink w:anchor="i928bbdb1582a49208efe7f01535cf16b_22">
        <w:r>
          <w:rPr>
            <w:rStyle w:val="InternetLink"/>
          </w:rPr>
          <w:t>26</w:t>
        </w:r>
      </w:hyperlink>
    </w:p>
    <w:p>
      <w:pPr>
        <w:pStyle w:val="TextBody"/>
        <w:bidi w:val="0"/>
        <w:spacing w:lineRule="atLeast" w:line="252" w:before="2" w:after="283"/>
        <w:ind w:left="0" w:right="0" w:hanging="720"/>
        <w:jc w:val="left"/>
        <w:rPr/>
      </w:pPr>
      <w:r>
        <w:rPr>
          <w:rFonts w:ascii="Times New Roman;serif" w:hAnsi="Times New Roman;serif"/>
          <w:b w:val="false"/>
          <w:color w:val="000000"/>
          <w:sz w:val="22"/>
        </w:rPr>
        <w:t>1.6.</w:t>
      </w:r>
      <w:hyperlink w:anchor="i928bbdb1582a49208efe7f01535cf16b_22">
        <w:r>
          <w:rPr>
            <w:rStyle w:val="InternetLink"/>
          </w:rPr>
          <w:t>Minimum Amount of Each SOFR Borrowing</w:t>
        </w:r>
      </w:hyperlink>
      <w:hyperlink w:anchor="i928bbdb1582a49208efe7f01535cf16b_22">
        <w:r>
          <w:rPr>
            <w:rStyle w:val="InternetLink"/>
          </w:rPr>
          <w:t>    </w:t>
        </w:r>
      </w:hyperlink>
      <w:hyperlink w:anchor="i928bbdb1582a49208efe7f01535cf16b_22">
        <w:r>
          <w:rPr>
            <w:rStyle w:val="InternetLink"/>
          </w:rPr>
          <w:t>26</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1.7.</w:t>
      </w:r>
      <w:hyperlink w:anchor="i928bbdb1582a49208efe7f01535cf16b_22">
        <w:r>
          <w:rPr>
            <w:rStyle w:val="InternetLink"/>
          </w:rPr>
          <w:t>Optional Principal Payments</w:t>
        </w:r>
      </w:hyperlink>
      <w:hyperlink w:anchor="i928bbdb1582a49208efe7f01535cf16b_22">
        <w:r>
          <w:rPr>
            <w:rStyle w:val="InternetLink"/>
          </w:rPr>
          <w:t>    </w:t>
        </w:r>
      </w:hyperlink>
      <w:hyperlink w:anchor="i928bbdb1582a49208efe7f01535cf16b_22">
        <w:r>
          <w:rPr>
            <w:rStyle w:val="InternetLink"/>
          </w:rPr>
          <w:t>26</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1.8.</w:t>
      </w:r>
      <w:hyperlink w:anchor="i928bbdb1582a49208efe7f01535cf16b_22">
        <w:r>
          <w:rPr>
            <w:rStyle w:val="InternetLink"/>
          </w:rPr>
          <w:t>Method of Selecting Types and Interest Periods for New Revolving Borrowings</w:t>
        </w:r>
      </w:hyperlink>
      <w:hyperlink w:anchor="i928bbdb1582a49208efe7f01535cf16b_22">
        <w:r>
          <w:rPr>
            <w:rStyle w:val="InternetLink"/>
          </w:rPr>
          <w:t>    </w:t>
        </w:r>
      </w:hyperlink>
      <w:hyperlink w:anchor="i928bbdb1582a49208efe7f01535cf16b_22">
        <w:r>
          <w:rPr>
            <w:rStyle w:val="InternetLink"/>
          </w:rPr>
          <w:t>27</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1.9.</w:t>
      </w:r>
      <w:hyperlink w:anchor="i928bbdb1582a49208efe7f01535cf16b_22">
        <w:r>
          <w:rPr>
            <w:rStyle w:val="InternetLink"/>
            <w:rFonts w:ascii="Times New Roman;serif" w:hAnsi="Times New Roman;serif"/>
            <w:b w:val="false"/>
            <w:strike w:val="false"/>
            <w:dstrike w:val="false"/>
            <w:color w:val="000000"/>
            <w:sz w:val="22"/>
            <w:u w:val="none"/>
            <w:effect w:val="none"/>
          </w:rPr>
          <w:t>Conversion and Continuation of Outstanding Borrowings; Maximum Number</w:t>
        </w:r>
      </w:hyperlink>
    </w:p>
    <w:p>
      <w:pPr>
        <w:pStyle w:val="TextBody"/>
        <w:bidi w:val="0"/>
        <w:spacing w:lineRule="atLeast" w:line="252" w:before="0" w:after="0"/>
        <w:jc w:val="left"/>
        <w:rPr/>
      </w:pPr>
      <w:hyperlink w:anchor="i928bbdb1582a49208efe7f01535cf16b_22">
        <w:r>
          <w:rPr>
            <w:rStyle w:val="InternetLink"/>
          </w:rPr>
          <w:t>of Interest Periods</w:t>
        </w:r>
      </w:hyperlink>
      <w:hyperlink w:anchor="i928bbdb1582a49208efe7f01535cf16b_22">
        <w:r>
          <w:rPr>
            <w:rStyle w:val="InternetLink"/>
          </w:rPr>
          <w:t>    </w:t>
        </w:r>
      </w:hyperlink>
      <w:hyperlink w:anchor="i928bbdb1582a49208efe7f01535cf16b_22">
        <w:r>
          <w:rPr>
            <w:rStyle w:val="InternetLink"/>
          </w:rPr>
          <w:t>27</w:t>
        </w:r>
      </w:hyperlink>
    </w:p>
    <w:p>
      <w:pPr>
        <w:pStyle w:val="TextBody"/>
        <w:bidi w:val="0"/>
        <w:spacing w:lineRule="atLeast" w:line="252" w:before="2" w:after="283"/>
        <w:ind w:left="0" w:right="0" w:hanging="720"/>
        <w:jc w:val="left"/>
        <w:rPr/>
      </w:pPr>
      <w:r>
        <w:rPr>
          <w:rFonts w:ascii="Times New Roman;serif" w:hAnsi="Times New Roman;serif"/>
          <w:b w:val="false"/>
          <w:color w:val="000000"/>
          <w:sz w:val="22"/>
        </w:rPr>
        <w:t>1.10.</w:t>
      </w:r>
      <w:hyperlink w:anchor="i928bbdb1582a49208efe7f01535cf16b_22">
        <w:r>
          <w:rPr>
            <w:rStyle w:val="InternetLink"/>
          </w:rPr>
          <w:t>Interest Rates</w:t>
        </w:r>
      </w:hyperlink>
      <w:hyperlink w:anchor="i928bbdb1582a49208efe7f01535cf16b_22">
        <w:r>
          <w:rPr>
            <w:rStyle w:val="InternetLink"/>
          </w:rPr>
          <w:t>    </w:t>
        </w:r>
      </w:hyperlink>
      <w:hyperlink w:anchor="i928bbdb1582a49208efe7f01535cf16b_22">
        <w:r>
          <w:rPr>
            <w:rStyle w:val="InternetLink"/>
          </w:rPr>
          <w:t>27</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1.11.</w:t>
      </w:r>
      <w:hyperlink w:anchor="i928bbdb1582a49208efe7f01535cf16b_22">
        <w:r>
          <w:rPr>
            <w:rStyle w:val="InternetLink"/>
          </w:rPr>
          <w:t>Rates Applicable After Event of Default</w:t>
        </w:r>
      </w:hyperlink>
      <w:hyperlink w:anchor="i928bbdb1582a49208efe7f01535cf16b_22">
        <w:r>
          <w:rPr>
            <w:rStyle w:val="InternetLink"/>
          </w:rPr>
          <w:t>    </w:t>
        </w:r>
      </w:hyperlink>
      <w:hyperlink w:anchor="i928bbdb1582a49208efe7f01535cf16b_22">
        <w:r>
          <w:rPr>
            <w:rStyle w:val="InternetLink"/>
          </w:rPr>
          <w:t>28</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1.12.</w:t>
      </w:r>
      <w:hyperlink w:anchor="i928bbdb1582a49208efe7f01535cf16b_22">
        <w:r>
          <w:rPr>
            <w:rStyle w:val="InternetLink"/>
          </w:rPr>
          <w:t>Method of Payment</w:t>
        </w:r>
      </w:hyperlink>
      <w:hyperlink w:anchor="i928bbdb1582a49208efe7f01535cf16b_22">
        <w:r>
          <w:rPr>
            <w:rStyle w:val="InternetLink"/>
          </w:rPr>
          <w:t>    </w:t>
        </w:r>
      </w:hyperlink>
      <w:hyperlink w:anchor="i928bbdb1582a49208efe7f01535cf16b_22">
        <w:r>
          <w:rPr>
            <w:rStyle w:val="InternetLink"/>
          </w:rPr>
          <w:t>28</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1.13.</w:t>
      </w:r>
      <w:hyperlink w:anchor="i928bbdb1582a49208efe7f01535cf16b_22">
        <w:r>
          <w:rPr>
            <w:rStyle w:val="InternetLink"/>
          </w:rPr>
          <w:t>Noteless Agreement; Evidence of Indebtedness</w:t>
        </w:r>
      </w:hyperlink>
      <w:hyperlink w:anchor="i928bbdb1582a49208efe7f01535cf16b_22">
        <w:r>
          <w:rPr>
            <w:rStyle w:val="InternetLink"/>
          </w:rPr>
          <w:t>    </w:t>
        </w:r>
      </w:hyperlink>
      <w:hyperlink w:anchor="i928bbdb1582a49208efe7f01535cf16b_22">
        <w:r>
          <w:rPr>
            <w:rStyle w:val="InternetLink"/>
          </w:rPr>
          <w:t>28</w:t>
        </w:r>
      </w:hyperlink>
    </w:p>
    <w:p>
      <w:pPr>
        <w:pStyle w:val="TextBody"/>
        <w:bidi w:val="0"/>
        <w:spacing w:lineRule="atLeast" w:line="253" w:before="0" w:after="0"/>
        <w:ind w:left="0" w:right="0" w:hanging="720"/>
        <w:jc w:val="left"/>
        <w:rPr/>
      </w:pPr>
      <w:r>
        <w:rPr>
          <w:rFonts w:ascii="Times New Roman;serif" w:hAnsi="Times New Roman;serif"/>
          <w:b w:val="false"/>
          <w:color w:val="000000"/>
          <w:sz w:val="22"/>
        </w:rPr>
        <w:t>1.14.</w:t>
      </w:r>
      <w:hyperlink w:anchor="i928bbdb1582a49208efe7f01535cf16b_22">
        <w:r>
          <w:rPr>
            <w:rStyle w:val="InternetLink"/>
          </w:rPr>
          <w:t>Telephonic Notices</w:t>
        </w:r>
      </w:hyperlink>
      <w:hyperlink w:anchor="i928bbdb1582a49208efe7f01535cf16b_22">
        <w:r>
          <w:rPr>
            <w:rStyle w:val="InternetLink"/>
          </w:rPr>
          <w:t>    </w:t>
        </w:r>
      </w:hyperlink>
      <w:hyperlink w:anchor="i928bbdb1582a49208efe7f01535cf16b_22">
        <w:r>
          <w:rPr>
            <w:rStyle w:val="InternetLink"/>
          </w:rPr>
          <w:t>29</w:t>
        </w:r>
      </w:hyperlink>
    </w:p>
    <w:p>
      <w:pPr>
        <w:pStyle w:val="TextBody"/>
        <w:bidi w:val="0"/>
        <w:spacing w:lineRule="atLeast" w:line="252" w:before="2" w:after="283"/>
        <w:ind w:left="0" w:right="0" w:hanging="720"/>
        <w:jc w:val="left"/>
        <w:rPr/>
      </w:pPr>
      <w:r>
        <w:rPr>
          <w:rFonts w:ascii="Times New Roman;serif" w:hAnsi="Times New Roman;serif"/>
          <w:b w:val="false"/>
          <w:color w:val="000000"/>
          <w:sz w:val="22"/>
        </w:rPr>
        <w:t>1.15.</w:t>
      </w:r>
      <w:hyperlink w:anchor="i928bbdb1582a49208efe7f01535cf16b_22">
        <w:r>
          <w:rPr>
            <w:rStyle w:val="InternetLink"/>
          </w:rPr>
          <w:t>Interest Payment Dates; Interest and Fee Basis</w:t>
        </w:r>
      </w:hyperlink>
      <w:hyperlink w:anchor="i928bbdb1582a49208efe7f01535cf16b_22">
        <w:r>
          <w:rPr>
            <w:rStyle w:val="InternetLink"/>
          </w:rPr>
          <w:t>    </w:t>
        </w:r>
      </w:hyperlink>
      <w:hyperlink w:anchor="i928bbdb1582a49208efe7f01535cf16b_22">
        <w:r>
          <w:rPr>
            <w:rStyle w:val="InternetLink"/>
          </w:rPr>
          <w:t>29</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1.16.</w:t>
      </w:r>
      <w:hyperlink w:anchor="i928bbdb1582a49208efe7f01535cf16b_22">
        <w:r>
          <w:rPr>
            <w:rStyle w:val="InternetLink"/>
            <w:rFonts w:ascii="Times New Roman;serif" w:hAnsi="Times New Roman;serif"/>
            <w:b w:val="false"/>
            <w:strike w:val="false"/>
            <w:dstrike w:val="false"/>
            <w:color w:val="000000"/>
            <w:sz w:val="22"/>
            <w:u w:val="none"/>
            <w:effect w:val="none"/>
          </w:rPr>
          <w:t>Notification of Borrowings, Interest Rates, Prepayments and Revolving</w:t>
        </w:r>
      </w:hyperlink>
    </w:p>
    <w:p>
      <w:pPr>
        <w:pStyle w:val="TextBody"/>
        <w:bidi w:val="0"/>
        <w:spacing w:lineRule="atLeast" w:line="252" w:before="1" w:after="283"/>
        <w:jc w:val="left"/>
        <w:rPr/>
      </w:pPr>
      <w:hyperlink w:anchor="i928bbdb1582a49208efe7f01535cf16b_22">
        <w:r>
          <w:rPr>
            <w:rStyle w:val="InternetLink"/>
          </w:rPr>
          <w:t>Commitment Reductions</w:t>
        </w:r>
      </w:hyperlink>
      <w:hyperlink w:anchor="i928bbdb1582a49208efe7f01535cf16b_22">
        <w:r>
          <w:rPr>
            <w:rStyle w:val="InternetLink"/>
          </w:rPr>
          <w:t>    </w:t>
        </w:r>
      </w:hyperlink>
      <w:hyperlink w:anchor="i928bbdb1582a49208efe7f01535cf16b_22">
        <w:r>
          <w:rPr>
            <w:rStyle w:val="InternetLink"/>
          </w:rPr>
          <w:t>30</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1.17.</w:t>
      </w:r>
      <w:hyperlink w:anchor="i928bbdb1582a49208efe7f01535cf16b_22">
        <w:r>
          <w:rPr>
            <w:rStyle w:val="InternetLink"/>
          </w:rPr>
          <w:t>Lending Installations</w:t>
        </w:r>
      </w:hyperlink>
      <w:hyperlink w:anchor="i928bbdb1582a49208efe7f01535cf16b_22">
        <w:r>
          <w:rPr>
            <w:rStyle w:val="InternetLink"/>
          </w:rPr>
          <w:t>    </w:t>
        </w:r>
      </w:hyperlink>
      <w:hyperlink w:anchor="i928bbdb1582a49208efe7f01535cf16b_22">
        <w:r>
          <w:rPr>
            <w:rStyle w:val="InternetLink"/>
          </w:rPr>
          <w:t>30</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1.18.</w:t>
      </w:r>
      <w:hyperlink w:anchor="i928bbdb1582a49208efe7f01535cf16b_22">
        <w:r>
          <w:rPr>
            <w:rStyle w:val="InternetLink"/>
          </w:rPr>
          <w:t>Non-Receipt of Funds by the Administrative Agent</w:t>
        </w:r>
      </w:hyperlink>
      <w:hyperlink w:anchor="i928bbdb1582a49208efe7f01535cf16b_22">
        <w:r>
          <w:rPr>
            <w:rStyle w:val="InternetLink"/>
          </w:rPr>
          <w:t>    </w:t>
        </w:r>
      </w:hyperlink>
      <w:hyperlink w:anchor="i928bbdb1582a49208efe7f01535cf16b_22">
        <w:r>
          <w:rPr>
            <w:rStyle w:val="InternetLink"/>
          </w:rPr>
          <w:t>30</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1.19.</w:t>
      </w:r>
      <w:hyperlink w:anchor="i928bbdb1582a49208efe7f01535cf16b_22">
        <w:r>
          <w:rPr>
            <w:rStyle w:val="InternetLink"/>
          </w:rPr>
          <w:t>Facility LCs</w:t>
        </w:r>
      </w:hyperlink>
      <w:hyperlink w:anchor="i928bbdb1582a49208efe7f01535cf16b_22">
        <w:r>
          <w:rPr>
            <w:rStyle w:val="InternetLink"/>
          </w:rPr>
          <w:t>    </w:t>
        </w:r>
      </w:hyperlink>
      <w:hyperlink w:anchor="i928bbdb1582a49208efe7f01535cf16b_22">
        <w:r>
          <w:rPr>
            <w:rStyle w:val="InternetLink"/>
          </w:rPr>
          <w:t>30</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1.20.</w:t>
      </w:r>
      <w:hyperlink w:anchor="i928bbdb1582a49208efe7f01535cf16b_22">
        <w:r>
          <w:rPr>
            <w:rStyle w:val="InternetLink"/>
          </w:rPr>
          <w:t>Replacement of Lender</w:t>
        </w:r>
      </w:hyperlink>
      <w:hyperlink w:anchor="i928bbdb1582a49208efe7f01535cf16b_22">
        <w:r>
          <w:rPr>
            <w:rStyle w:val="InternetLink"/>
          </w:rPr>
          <w:t>    </w:t>
        </w:r>
      </w:hyperlink>
      <w:hyperlink w:anchor="i928bbdb1582a49208efe7f01535cf16b_22">
        <w:r>
          <w:rPr>
            <w:rStyle w:val="InternetLink"/>
          </w:rPr>
          <w:t>34</w:t>
        </w:r>
      </w:hyperlink>
    </w:p>
    <w:p>
      <w:pPr>
        <w:pStyle w:val="TextBody"/>
        <w:bidi w:val="0"/>
        <w:spacing w:lineRule="atLeast" w:line="252" w:before="2" w:after="283"/>
        <w:ind w:left="0" w:right="0" w:hanging="720"/>
        <w:jc w:val="left"/>
        <w:rPr/>
      </w:pPr>
      <w:r>
        <w:rPr>
          <w:rFonts w:ascii="Times New Roman;serif" w:hAnsi="Times New Roman;serif"/>
          <w:b w:val="false"/>
          <w:color w:val="000000"/>
          <w:sz w:val="22"/>
        </w:rPr>
        <w:t>1.21.</w:t>
      </w:r>
      <w:hyperlink w:anchor="i928bbdb1582a49208efe7f01535cf16b_22">
        <w:r>
          <w:rPr>
            <w:rStyle w:val="InternetLink"/>
          </w:rPr>
          <w:t>Limitation of Interest</w:t>
        </w:r>
      </w:hyperlink>
      <w:hyperlink w:anchor="i928bbdb1582a49208efe7f01535cf16b_22">
        <w:r>
          <w:rPr>
            <w:rStyle w:val="InternetLink"/>
          </w:rPr>
          <w:t>    </w:t>
        </w:r>
      </w:hyperlink>
      <w:hyperlink w:anchor="i928bbdb1582a49208efe7f01535cf16b_22">
        <w:r>
          <w:rPr>
            <w:rStyle w:val="InternetLink"/>
          </w:rPr>
          <w:t>34</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1.22.</w:t>
      </w:r>
      <w:hyperlink w:anchor="i928bbdb1582a49208efe7f01535cf16b_22">
        <w:r>
          <w:rPr>
            <w:rStyle w:val="InternetLink"/>
          </w:rPr>
          <w:t>Defaulting Lenders</w:t>
        </w:r>
      </w:hyperlink>
      <w:hyperlink w:anchor="i928bbdb1582a49208efe7f01535cf16b_22">
        <w:r>
          <w:rPr>
            <w:rStyle w:val="InternetLink"/>
          </w:rPr>
          <w:t>    </w:t>
        </w:r>
      </w:hyperlink>
      <w:hyperlink w:anchor="i928bbdb1582a49208efe7f01535cf16b_22">
        <w:r>
          <w:rPr>
            <w:rStyle w:val="InternetLink"/>
          </w:rPr>
          <w:t>35</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1.23.</w:t>
      </w:r>
      <w:hyperlink w:anchor="i928bbdb1582a49208efe7f01535cf16b_22">
        <w:r>
          <w:rPr>
            <w:rStyle w:val="InternetLink"/>
          </w:rPr>
          <w:t>Judgment Currency</w:t>
        </w:r>
      </w:hyperlink>
      <w:hyperlink w:anchor="i928bbdb1582a49208efe7f01535cf16b_22">
        <w:r>
          <w:rPr>
            <w:rStyle w:val="InternetLink"/>
          </w:rPr>
          <w:t>    </w:t>
        </w:r>
      </w:hyperlink>
      <w:hyperlink w:anchor="i928bbdb1582a49208efe7f01535cf16b_22">
        <w:r>
          <w:rPr>
            <w:rStyle w:val="InternetLink"/>
          </w:rPr>
          <w:t>38</w:t>
        </w:r>
      </w:hyperlink>
    </w:p>
    <w:p>
      <w:pPr>
        <w:pStyle w:val="TextBody"/>
        <w:bidi w:val="0"/>
        <w:spacing w:lineRule="auto" w:line="288" w:before="244" w:after="283"/>
        <w:jc w:val="left"/>
        <w:rPr/>
      </w:pPr>
      <w:hyperlink w:anchor="i928bbdb1582a49208efe7f01535cf16b_22">
        <w:r>
          <w:rPr>
            <w:rStyle w:val="InternetLink"/>
          </w:rPr>
          <w:t>ARTICLE III YIELD PROTECTION; TAXES</w:t>
        </w:r>
      </w:hyperlink>
      <w:hyperlink w:anchor="i928bbdb1582a49208efe7f01535cf16b_22">
        <w:r>
          <w:rPr>
            <w:rStyle w:val="InternetLink"/>
          </w:rPr>
          <w:t>    </w:t>
        </w:r>
      </w:hyperlink>
      <w:hyperlink w:anchor="i928bbdb1582a49208efe7f01535cf16b_22">
        <w:r>
          <w:rPr>
            <w:rStyle w:val="InternetLink"/>
          </w:rPr>
          <w:t>39</w:t>
        </w:r>
      </w:hyperlink>
    </w:p>
    <w:p>
      <w:pPr>
        <w:pStyle w:val="TextBody"/>
        <w:bidi w:val="0"/>
        <w:spacing w:lineRule="auto" w:line="288" w:before="237" w:after="283"/>
        <w:ind w:left="0" w:right="0" w:hanging="720"/>
        <w:jc w:val="left"/>
        <w:rPr/>
      </w:pPr>
      <w:r>
        <w:rPr>
          <w:rFonts w:ascii="Times New Roman;serif" w:hAnsi="Times New Roman;serif"/>
          <w:b w:val="false"/>
          <w:color w:val="000000"/>
          <w:sz w:val="22"/>
        </w:rPr>
        <w:t>1.1.</w:t>
      </w:r>
      <w:hyperlink w:anchor="i928bbdb1582a49208efe7f01535cf16b_22">
        <w:r>
          <w:rPr>
            <w:rStyle w:val="InternetLink"/>
          </w:rPr>
          <w:t>Yield Protection</w:t>
        </w:r>
      </w:hyperlink>
      <w:hyperlink w:anchor="i928bbdb1582a49208efe7f01535cf16b_22">
        <w:r>
          <w:rPr>
            <w:rStyle w:val="InternetLink"/>
          </w:rPr>
          <w:t>    </w:t>
        </w:r>
      </w:hyperlink>
      <w:hyperlink w:anchor="i928bbdb1582a49208efe7f01535cf16b_22">
        <w:r>
          <w:rPr>
            <w:rStyle w:val="InternetLink"/>
          </w:rPr>
          <w:t>39</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1.2.</w:t>
      </w:r>
      <w:hyperlink w:anchor="i928bbdb1582a49208efe7f01535cf16b_22">
        <w:r>
          <w:rPr>
            <w:rStyle w:val="InternetLink"/>
          </w:rPr>
          <w:t>Changes in Capital Adequacy Regulations</w:t>
        </w:r>
      </w:hyperlink>
      <w:hyperlink w:anchor="i928bbdb1582a49208efe7f01535cf16b_22">
        <w:r>
          <w:rPr>
            <w:rStyle w:val="InternetLink"/>
          </w:rPr>
          <w:t>    </w:t>
        </w:r>
      </w:hyperlink>
      <w:hyperlink w:anchor="i928bbdb1582a49208efe7f01535cf16b_22">
        <w:r>
          <w:rPr>
            <w:rStyle w:val="InternetLink"/>
          </w:rPr>
          <w:t>39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1.3.</w:t>
      </w:r>
      <w:hyperlink w:anchor="i928bbdb1582a49208efe7f01535cf16b_22">
        <w:r>
          <w:rPr>
            <w:rStyle w:val="InternetLink"/>
            <w:rFonts w:ascii="Times New Roman;serif" w:hAnsi="Times New Roman;serif"/>
            <w:b w:val="false"/>
            <w:strike w:val="false"/>
            <w:dstrike w:val="false"/>
            <w:color w:val="000000"/>
            <w:sz w:val="22"/>
            <w:u w:val="none"/>
            <w:effect w:val="none"/>
          </w:rPr>
          <w:t>Availability of Types of Borrowings; Adequacy of Interest Rate; Benchmark</w:t>
        </w:r>
      </w:hyperlink>
      <w:r>
        <w:rPr>
          <w:rFonts w:ascii="Times New Roman;serif" w:hAnsi="Times New Roman;serif"/>
          <w:b w:val="false"/>
          <w:color w:val="000000"/>
          <w:sz w:val="22"/>
        </w:rPr>
        <w:t xml:space="preserve"> </w:t>
      </w:r>
      <w:hyperlink w:anchor="i928bbdb1582a49208efe7f01535cf16b_22">
        <w:r>
          <w:rPr>
            <w:rStyle w:val="InternetLink"/>
          </w:rPr>
          <w:t>Replacement</w:t>
        </w:r>
      </w:hyperlink>
      <w:hyperlink w:anchor="i928bbdb1582a49208efe7f01535cf16b_22">
        <w:r>
          <w:rPr>
            <w:rStyle w:val="InternetLink"/>
          </w:rPr>
          <w:t>    </w:t>
        </w:r>
      </w:hyperlink>
      <w:hyperlink w:anchor="i928bbdb1582a49208efe7f01535cf16b_22">
        <w:r>
          <w:rPr>
            <w:rStyle w:val="InternetLink"/>
          </w:rPr>
          <w:t>40</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1.4.</w:t>
      </w:r>
      <w:hyperlink w:anchor="i928bbdb1582a49208efe7f01535cf16b_22">
        <w:r>
          <w:rPr>
            <w:rStyle w:val="InternetLink"/>
          </w:rPr>
          <w:t>[Reserved]</w:t>
        </w:r>
      </w:hyperlink>
      <w:hyperlink w:anchor="i928bbdb1582a49208efe7f01535cf16b_22">
        <w:r>
          <w:rPr>
            <w:rStyle w:val="InternetLink"/>
          </w:rPr>
          <w:t>    </w:t>
        </w:r>
      </w:hyperlink>
      <w:hyperlink w:anchor="i928bbdb1582a49208efe7f01535cf16b_22">
        <w:r>
          <w:rPr>
            <w:rStyle w:val="InternetLink"/>
          </w:rPr>
          <w:t>42</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1.5.</w:t>
      </w:r>
      <w:hyperlink w:anchor="i928bbdb1582a49208efe7f01535cf16b_22">
        <w:r>
          <w:rPr>
            <w:rStyle w:val="InternetLink"/>
          </w:rPr>
          <w:t>Taxes</w:t>
        </w:r>
      </w:hyperlink>
      <w:hyperlink w:anchor="i928bbdb1582a49208efe7f01535cf16b_22">
        <w:r>
          <w:rPr>
            <w:rStyle w:val="InternetLink"/>
          </w:rPr>
          <w:t>    </w:t>
        </w:r>
      </w:hyperlink>
      <w:hyperlink w:anchor="i928bbdb1582a49208efe7f01535cf16b_22">
        <w:r>
          <w:rPr>
            <w:rStyle w:val="InternetLink"/>
          </w:rPr>
          <w:t>42</w:t>
        </w:r>
      </w:hyperlink>
    </w:p>
    <w:p>
      <w:pPr>
        <w:pStyle w:val="TextBody"/>
        <w:bidi w:val="0"/>
        <w:spacing w:lineRule="auto" w:line="288" w:before="2" w:after="283"/>
        <w:ind w:left="0" w:right="0" w:hanging="720"/>
        <w:jc w:val="left"/>
        <w:rPr/>
      </w:pPr>
      <w:r>
        <w:rPr>
          <w:rFonts w:ascii="Times New Roman;serif" w:hAnsi="Times New Roman;serif"/>
          <w:b w:val="false"/>
          <w:color w:val="000000"/>
          <w:sz w:val="22"/>
        </w:rPr>
        <w:t>1.6.</w:t>
      </w:r>
      <w:hyperlink w:anchor="i928bbdb1582a49208efe7f01535cf16b_22">
        <w:r>
          <w:rPr>
            <w:rStyle w:val="InternetLink"/>
          </w:rPr>
          <w:t>Illegality</w:t>
        </w:r>
      </w:hyperlink>
      <w:hyperlink w:anchor="i928bbdb1582a49208efe7f01535cf16b_22">
        <w:r>
          <w:rPr>
            <w:rStyle w:val="InternetLink"/>
          </w:rPr>
          <w:t>    </w:t>
        </w:r>
      </w:hyperlink>
      <w:hyperlink w:anchor="i928bbdb1582a49208efe7f01535cf16b_22">
        <w:r>
          <w:rPr>
            <w:rStyle w:val="InternetLink"/>
          </w:rPr>
          <w:t>45</w:t>
        </w:r>
      </w:hyperlink>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1" w:after="70"/>
        <w:jc w:val="left"/>
        <w:rPr/>
      </w:pPr>
      <w:hyperlink w:anchor="i928bbdb1582a49208efe7f01535cf16b_22">
        <w:r>
          <w:rPr>
            <w:rStyle w:val="InternetLink"/>
          </w:rPr>
          <w:t>ARTICLE IV CONDITIONS PRECEDENT</w:t>
        </w:r>
      </w:hyperlink>
      <w:hyperlink w:anchor="i928bbdb1582a49208efe7f01535cf16b_22">
        <w:r>
          <w:rPr>
            <w:rStyle w:val="InternetLink"/>
          </w:rPr>
          <w:t>    </w:t>
        </w:r>
      </w:hyperlink>
      <w:hyperlink w:anchor="i928bbdb1582a49208efe7f01535cf16b_22">
        <w:r>
          <w:rPr>
            <w:rStyle w:val="InternetLink"/>
          </w:rPr>
          <w:t>45</w:t>
        </w:r>
      </w:hyperlink>
    </w:p>
    <w:p>
      <w:pPr>
        <w:pStyle w:val="TextBody"/>
        <w:bidi w:val="0"/>
        <w:spacing w:lineRule="atLeast" w:line="252" w:before="79" w:after="283"/>
        <w:ind w:left="0" w:right="0" w:hanging="720"/>
        <w:jc w:val="left"/>
        <w:rPr/>
      </w:pPr>
      <w:r>
        <w:rPr>
          <w:rFonts w:ascii="Times New Roman;serif" w:hAnsi="Times New Roman;serif"/>
          <w:b w:val="false"/>
          <w:color w:val="000000"/>
          <w:sz w:val="22"/>
        </w:rPr>
        <w:t>1.1.</w:t>
      </w:r>
      <w:hyperlink w:anchor="i928bbdb1582a49208efe7f01535cf16b_22">
        <w:r>
          <w:rPr>
            <w:rStyle w:val="InternetLink"/>
          </w:rPr>
          <w:t>Initial Credit Extension</w:t>
        </w:r>
      </w:hyperlink>
      <w:hyperlink w:anchor="i928bbdb1582a49208efe7f01535cf16b_22">
        <w:r>
          <w:rPr>
            <w:rStyle w:val="InternetLink"/>
          </w:rPr>
          <w:t>    </w:t>
        </w:r>
      </w:hyperlink>
      <w:hyperlink w:anchor="i928bbdb1582a49208efe7f01535cf16b_22">
        <w:r>
          <w:rPr>
            <w:rStyle w:val="InternetLink"/>
          </w:rPr>
          <w:t>45</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w:t>
      </w:r>
      <w:hyperlink w:anchor="i928bbdb1582a49208efe7f01535cf16b_22">
        <w:r>
          <w:rPr>
            <w:rStyle w:val="InternetLink"/>
          </w:rPr>
          <w:t>Each Credit Extension</w:t>
        </w:r>
      </w:hyperlink>
      <w:hyperlink w:anchor="i928bbdb1582a49208efe7f01535cf16b_22">
        <w:r>
          <w:rPr>
            <w:rStyle w:val="InternetLink"/>
          </w:rPr>
          <w:t>    </w:t>
        </w:r>
      </w:hyperlink>
      <w:hyperlink w:anchor="i928bbdb1582a49208efe7f01535cf16b_22">
        <w:r>
          <w:rPr>
            <w:rStyle w:val="InternetLink"/>
          </w:rPr>
          <w:t>47</w:t>
        </w:r>
      </w:hyperlink>
    </w:p>
    <w:p>
      <w:pPr>
        <w:pStyle w:val="TextBody"/>
        <w:bidi w:val="0"/>
        <w:spacing w:lineRule="auto" w:line="288" w:before="244" w:after="283"/>
        <w:jc w:val="left"/>
        <w:rPr/>
      </w:pPr>
      <w:hyperlink w:anchor="i928bbdb1582a49208efe7f01535cf16b_22">
        <w:r>
          <w:rPr>
            <w:rStyle w:val="InternetLink"/>
          </w:rPr>
          <w:t>ARTICLE V REPRESENTATIONS AND WARRANTIES</w:t>
        </w:r>
      </w:hyperlink>
      <w:hyperlink w:anchor="i928bbdb1582a49208efe7f01535cf16b_22">
        <w:r>
          <w:rPr>
            <w:rStyle w:val="InternetLink"/>
          </w:rPr>
          <w:t>    </w:t>
        </w:r>
      </w:hyperlink>
      <w:hyperlink w:anchor="i928bbdb1582a49208efe7f01535cf16b_22">
        <w:r>
          <w:rPr>
            <w:rStyle w:val="InternetLink"/>
          </w:rPr>
          <w:t>47</w:t>
        </w:r>
      </w:hyperlink>
    </w:p>
    <w:p>
      <w:pPr>
        <w:pStyle w:val="TextBody"/>
        <w:bidi w:val="0"/>
        <w:spacing w:lineRule="auto" w:line="288" w:before="236" w:after="283"/>
        <w:ind w:left="0" w:right="0" w:hanging="720"/>
        <w:jc w:val="left"/>
        <w:rPr/>
      </w:pPr>
      <w:r>
        <w:rPr>
          <w:rFonts w:ascii="Times New Roman;serif" w:hAnsi="Times New Roman;serif"/>
          <w:b w:val="false"/>
          <w:color w:val="000000"/>
          <w:sz w:val="22"/>
        </w:rPr>
        <w:t>1.1.</w:t>
      </w:r>
      <w:hyperlink w:anchor="i928bbdb1582a49208efe7f01535cf16b_22">
        <w:r>
          <w:rPr>
            <w:rStyle w:val="InternetLink"/>
          </w:rPr>
          <w:t>Existence and Standing</w:t>
        </w:r>
      </w:hyperlink>
      <w:hyperlink w:anchor="i928bbdb1582a49208efe7f01535cf16b_22">
        <w:r>
          <w:rPr>
            <w:rStyle w:val="InternetLink"/>
          </w:rPr>
          <w:t>    </w:t>
        </w:r>
      </w:hyperlink>
      <w:hyperlink w:anchor="i928bbdb1582a49208efe7f01535cf16b_22">
        <w:r>
          <w:rPr>
            <w:rStyle w:val="InternetLink"/>
          </w:rPr>
          <w:t>47</w:t>
        </w:r>
      </w:hyperlink>
    </w:p>
    <w:p>
      <w:pPr>
        <w:pStyle w:val="TextBody"/>
        <w:bidi w:val="0"/>
        <w:spacing w:lineRule="atLeast" w:line="252" w:before="2" w:after="283"/>
        <w:ind w:left="0" w:right="0" w:hanging="720"/>
        <w:jc w:val="left"/>
        <w:rPr/>
      </w:pPr>
      <w:r>
        <w:rPr>
          <w:rFonts w:ascii="Times New Roman;serif" w:hAnsi="Times New Roman;serif"/>
          <w:b w:val="false"/>
          <w:color w:val="000000"/>
          <w:sz w:val="22"/>
        </w:rPr>
        <w:t>1.2.</w:t>
      </w:r>
      <w:hyperlink w:anchor="i928bbdb1582a49208efe7f01535cf16b_22">
        <w:r>
          <w:rPr>
            <w:rStyle w:val="InternetLink"/>
          </w:rPr>
          <w:t>Authorization and Validity</w:t>
        </w:r>
      </w:hyperlink>
      <w:hyperlink w:anchor="i928bbdb1582a49208efe7f01535cf16b_22">
        <w:r>
          <w:rPr>
            <w:rStyle w:val="InternetLink"/>
          </w:rPr>
          <w:t>    </w:t>
        </w:r>
      </w:hyperlink>
      <w:hyperlink w:anchor="i928bbdb1582a49208efe7f01535cf16b_22">
        <w:r>
          <w:rPr>
            <w:rStyle w:val="InternetLink"/>
          </w:rPr>
          <w:t>47</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1.3.</w:t>
      </w:r>
      <w:hyperlink w:anchor="i928bbdb1582a49208efe7f01535cf16b_22">
        <w:r>
          <w:rPr>
            <w:rStyle w:val="InternetLink"/>
          </w:rPr>
          <w:t>No Conflict; No Default</w:t>
        </w:r>
      </w:hyperlink>
      <w:hyperlink w:anchor="i928bbdb1582a49208efe7f01535cf16b_22">
        <w:r>
          <w:rPr>
            <w:rStyle w:val="InternetLink"/>
          </w:rPr>
          <w:t>    </w:t>
        </w:r>
      </w:hyperlink>
      <w:hyperlink w:anchor="i928bbdb1582a49208efe7f01535cf16b_22">
        <w:r>
          <w:rPr>
            <w:rStyle w:val="InternetLink"/>
          </w:rPr>
          <w:t>47</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1.4.</w:t>
      </w:r>
      <w:hyperlink w:anchor="i928bbdb1582a49208efe7f01535cf16b_22">
        <w:r>
          <w:rPr>
            <w:rStyle w:val="InternetLink"/>
          </w:rPr>
          <w:t>Government Consent</w:t>
        </w:r>
      </w:hyperlink>
      <w:hyperlink w:anchor="i928bbdb1582a49208efe7f01535cf16b_22">
        <w:r>
          <w:rPr>
            <w:rStyle w:val="InternetLink"/>
          </w:rPr>
          <w:t>    </w:t>
        </w:r>
      </w:hyperlink>
      <w:hyperlink w:anchor="i928bbdb1582a49208efe7f01535cf16b_22">
        <w:r>
          <w:rPr>
            <w:rStyle w:val="InternetLink"/>
          </w:rPr>
          <w:t>48</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1.5.</w:t>
      </w:r>
      <w:hyperlink w:anchor="i928bbdb1582a49208efe7f01535cf16b_22">
        <w:r>
          <w:rPr>
            <w:rStyle w:val="InternetLink"/>
          </w:rPr>
          <w:t>Financial Statements and Condition</w:t>
        </w:r>
      </w:hyperlink>
      <w:hyperlink w:anchor="i928bbdb1582a49208efe7f01535cf16b_22">
        <w:r>
          <w:rPr>
            <w:rStyle w:val="InternetLink"/>
          </w:rPr>
          <w:t>    </w:t>
        </w:r>
      </w:hyperlink>
      <w:hyperlink w:anchor="i928bbdb1582a49208efe7f01535cf16b_22">
        <w:r>
          <w:rPr>
            <w:rStyle w:val="InternetLink"/>
          </w:rPr>
          <w:t>48</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1.6.</w:t>
      </w:r>
      <w:hyperlink w:anchor="i928bbdb1582a49208efe7f01535cf16b_22">
        <w:r>
          <w:rPr>
            <w:rStyle w:val="InternetLink"/>
          </w:rPr>
          <w:t>Material Adverse Change</w:t>
        </w:r>
      </w:hyperlink>
      <w:hyperlink w:anchor="i928bbdb1582a49208efe7f01535cf16b_22">
        <w:r>
          <w:rPr>
            <w:rStyle w:val="InternetLink"/>
          </w:rPr>
          <w:t>    </w:t>
        </w:r>
      </w:hyperlink>
      <w:hyperlink w:anchor="i928bbdb1582a49208efe7f01535cf16b_22">
        <w:r>
          <w:rPr>
            <w:rStyle w:val="InternetLink"/>
          </w:rPr>
          <w:t>48</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1.7.</w:t>
      </w:r>
      <w:hyperlink w:anchor="i928bbdb1582a49208efe7f01535cf16b_22">
        <w:r>
          <w:rPr>
            <w:rStyle w:val="InternetLink"/>
          </w:rPr>
          <w:t>Taxes</w:t>
        </w:r>
      </w:hyperlink>
      <w:hyperlink w:anchor="i928bbdb1582a49208efe7f01535cf16b_22">
        <w:r>
          <w:rPr>
            <w:rStyle w:val="InternetLink"/>
          </w:rPr>
          <w:t>    </w:t>
        </w:r>
      </w:hyperlink>
      <w:hyperlink w:anchor="i928bbdb1582a49208efe7f01535cf16b_22">
        <w:r>
          <w:rPr>
            <w:rStyle w:val="InternetLink"/>
          </w:rPr>
          <w:t>48</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1.8.</w:t>
      </w:r>
      <w:hyperlink w:anchor="i928bbdb1582a49208efe7f01535cf16b_22">
        <w:r>
          <w:rPr>
            <w:rStyle w:val="InternetLink"/>
          </w:rPr>
          <w:t>Litigation and Contingent Obligations</w:t>
        </w:r>
      </w:hyperlink>
      <w:hyperlink w:anchor="i928bbdb1582a49208efe7f01535cf16b_22">
        <w:r>
          <w:rPr>
            <w:rStyle w:val="InternetLink"/>
          </w:rPr>
          <w:t>    </w:t>
        </w:r>
      </w:hyperlink>
      <w:hyperlink w:anchor="i928bbdb1582a49208efe7f01535cf16b_22">
        <w:r>
          <w:rPr>
            <w:rStyle w:val="InternetLink"/>
          </w:rPr>
          <w:t>48</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1.9.</w:t>
      </w:r>
      <w:hyperlink w:anchor="i928bbdb1582a49208efe7f01535cf16b_22">
        <w:r>
          <w:rPr>
            <w:rStyle w:val="InternetLink"/>
          </w:rPr>
          <w:t>ERISA</w:t>
        </w:r>
      </w:hyperlink>
      <w:hyperlink w:anchor="i928bbdb1582a49208efe7f01535cf16b_22">
        <w:r>
          <w:rPr>
            <w:rStyle w:val="InternetLink"/>
          </w:rPr>
          <w:t>    </w:t>
        </w:r>
      </w:hyperlink>
      <w:hyperlink w:anchor="i928bbdb1582a49208efe7f01535cf16b_22">
        <w:r>
          <w:rPr>
            <w:rStyle w:val="InternetLink"/>
          </w:rPr>
          <w:t>49</w:t>
        </w:r>
      </w:hyperlink>
    </w:p>
    <w:p>
      <w:pPr>
        <w:pStyle w:val="TextBody"/>
        <w:bidi w:val="0"/>
        <w:spacing w:lineRule="atLeast" w:line="252" w:before="2" w:after="283"/>
        <w:ind w:left="0" w:right="0" w:hanging="720"/>
        <w:jc w:val="left"/>
        <w:rPr/>
      </w:pPr>
      <w:r>
        <w:rPr>
          <w:rFonts w:ascii="Times New Roman;serif" w:hAnsi="Times New Roman;serif"/>
          <w:b w:val="false"/>
          <w:color w:val="000000"/>
          <w:sz w:val="22"/>
        </w:rPr>
        <w:t>1.10.</w:t>
      </w:r>
      <w:hyperlink w:anchor="i928bbdb1582a49208efe7f01535cf16b_22">
        <w:r>
          <w:rPr>
            <w:rStyle w:val="InternetLink"/>
          </w:rPr>
          <w:t>Regulation U</w:t>
        </w:r>
      </w:hyperlink>
      <w:hyperlink w:anchor="i928bbdb1582a49208efe7f01535cf16b_22">
        <w:r>
          <w:rPr>
            <w:rStyle w:val="InternetLink"/>
          </w:rPr>
          <w:t>    </w:t>
        </w:r>
      </w:hyperlink>
      <w:hyperlink w:anchor="i928bbdb1582a49208efe7f01535cf16b_22">
        <w:r>
          <w:rPr>
            <w:rStyle w:val="InternetLink"/>
          </w:rPr>
          <w:t>49</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1.11.</w:t>
      </w:r>
      <w:hyperlink w:anchor="i928bbdb1582a49208efe7f01535cf16b_22">
        <w:r>
          <w:rPr>
            <w:rStyle w:val="InternetLink"/>
          </w:rPr>
          <w:t>Compliance With Laws</w:t>
        </w:r>
      </w:hyperlink>
      <w:hyperlink w:anchor="i928bbdb1582a49208efe7f01535cf16b_22">
        <w:r>
          <w:rPr>
            <w:rStyle w:val="InternetLink"/>
          </w:rPr>
          <w:t>    </w:t>
        </w:r>
      </w:hyperlink>
      <w:hyperlink w:anchor="i928bbdb1582a49208efe7f01535cf16b_22">
        <w:r>
          <w:rPr>
            <w:rStyle w:val="InternetLink"/>
          </w:rPr>
          <w:t>49</w:t>
        </w:r>
      </w:hyperlink>
    </w:p>
    <w:p>
      <w:pPr>
        <w:pStyle w:val="TextBody"/>
        <w:bidi w:val="0"/>
        <w:spacing w:lineRule="atLeast" w:line="252" w:before="2" w:after="283"/>
        <w:ind w:left="0" w:right="0" w:hanging="720"/>
        <w:jc w:val="left"/>
        <w:rPr/>
      </w:pPr>
      <w:r>
        <w:rPr>
          <w:rFonts w:ascii="Times New Roman;serif" w:hAnsi="Times New Roman;serif"/>
          <w:b w:val="false"/>
          <w:color w:val="000000"/>
          <w:sz w:val="22"/>
        </w:rPr>
        <w:t>1.12.</w:t>
      </w:r>
      <w:hyperlink w:anchor="i928bbdb1582a49208efe7f01535cf16b_22">
        <w:r>
          <w:rPr>
            <w:rStyle w:val="InternetLink"/>
          </w:rPr>
          <w:t>Ownership of Properties</w:t>
        </w:r>
      </w:hyperlink>
      <w:hyperlink w:anchor="i928bbdb1582a49208efe7f01535cf16b_22">
        <w:r>
          <w:rPr>
            <w:rStyle w:val="InternetLink"/>
          </w:rPr>
          <w:t>    </w:t>
        </w:r>
      </w:hyperlink>
      <w:hyperlink w:anchor="i928bbdb1582a49208efe7f01535cf16b_22">
        <w:r>
          <w:rPr>
            <w:rStyle w:val="InternetLink"/>
          </w:rPr>
          <w:t>49</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1.13.</w:t>
      </w:r>
      <w:hyperlink w:anchor="i928bbdb1582a49208efe7f01535cf16b_22">
        <w:r>
          <w:rPr>
            <w:rStyle w:val="InternetLink"/>
          </w:rPr>
          <w:t>Trademarks; Patents</w:t>
        </w:r>
      </w:hyperlink>
      <w:hyperlink w:anchor="i928bbdb1582a49208efe7f01535cf16b_22">
        <w:r>
          <w:rPr>
            <w:rStyle w:val="InternetLink"/>
          </w:rPr>
          <w:t>    </w:t>
        </w:r>
      </w:hyperlink>
      <w:hyperlink w:anchor="i928bbdb1582a49208efe7f01535cf16b_22">
        <w:r>
          <w:rPr>
            <w:rStyle w:val="InternetLink"/>
          </w:rPr>
          <w:t>49</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1.14.</w:t>
      </w:r>
      <w:hyperlink w:anchor="i928bbdb1582a49208efe7f01535cf16b_22">
        <w:r>
          <w:rPr>
            <w:rStyle w:val="InternetLink"/>
          </w:rPr>
          <w:t>Burdensome Restrictions</w:t>
        </w:r>
      </w:hyperlink>
      <w:hyperlink w:anchor="i928bbdb1582a49208efe7f01535cf16b_22">
        <w:r>
          <w:rPr>
            <w:rStyle w:val="InternetLink"/>
          </w:rPr>
          <w:t>    </w:t>
        </w:r>
      </w:hyperlink>
      <w:hyperlink w:anchor="i928bbdb1582a49208efe7f01535cf16b_22">
        <w:r>
          <w:rPr>
            <w:rStyle w:val="InternetLink"/>
          </w:rPr>
          <w:t>49</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1.15.</w:t>
      </w:r>
      <w:hyperlink w:anchor="i928bbdb1582a49208efe7f01535cf16b_22">
        <w:r>
          <w:rPr>
            <w:rStyle w:val="InternetLink"/>
          </w:rPr>
          <w:t>Plan Assets; Prohibited Transactions</w:t>
        </w:r>
      </w:hyperlink>
      <w:hyperlink w:anchor="i928bbdb1582a49208efe7f01535cf16b_22">
        <w:r>
          <w:rPr>
            <w:rStyle w:val="InternetLink"/>
          </w:rPr>
          <w:t>    </w:t>
        </w:r>
      </w:hyperlink>
      <w:hyperlink w:anchor="i928bbdb1582a49208efe7f01535cf16b_22">
        <w:r>
          <w:rPr>
            <w:rStyle w:val="InternetLink"/>
          </w:rPr>
          <w:t>49</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1.16.</w:t>
      </w:r>
      <w:hyperlink w:anchor="i928bbdb1582a49208efe7f01535cf16b_22">
        <w:r>
          <w:rPr>
            <w:rStyle w:val="InternetLink"/>
          </w:rPr>
          <w:t>Environmental Matters</w:t>
        </w:r>
      </w:hyperlink>
      <w:hyperlink w:anchor="i928bbdb1582a49208efe7f01535cf16b_22">
        <w:r>
          <w:rPr>
            <w:rStyle w:val="InternetLink"/>
          </w:rPr>
          <w:t>    </w:t>
        </w:r>
      </w:hyperlink>
      <w:hyperlink w:anchor="i928bbdb1582a49208efe7f01535cf16b_22">
        <w:r>
          <w:rPr>
            <w:rStyle w:val="InternetLink"/>
          </w:rPr>
          <w:t>50</w:t>
        </w:r>
      </w:hyperlink>
    </w:p>
    <w:p>
      <w:pPr>
        <w:pStyle w:val="TextBody"/>
        <w:bidi w:val="0"/>
        <w:spacing w:lineRule="atLeast" w:line="252" w:before="2" w:after="283"/>
        <w:ind w:left="0" w:right="0" w:hanging="720"/>
        <w:jc w:val="left"/>
        <w:rPr/>
      </w:pPr>
      <w:r>
        <w:rPr>
          <w:rFonts w:ascii="Times New Roman;serif" w:hAnsi="Times New Roman;serif"/>
          <w:b w:val="false"/>
          <w:color w:val="000000"/>
          <w:sz w:val="22"/>
        </w:rPr>
        <w:t>1.17.</w:t>
      </w:r>
      <w:hyperlink w:anchor="i928bbdb1582a49208efe7f01535cf16b_22">
        <w:r>
          <w:rPr>
            <w:rStyle w:val="InternetLink"/>
          </w:rPr>
          <w:t>Investment Company Act</w:t>
        </w:r>
      </w:hyperlink>
      <w:hyperlink w:anchor="i928bbdb1582a49208efe7f01535cf16b_22">
        <w:r>
          <w:rPr>
            <w:rStyle w:val="InternetLink"/>
          </w:rPr>
          <w:t>    </w:t>
        </w:r>
      </w:hyperlink>
      <w:hyperlink w:anchor="i928bbdb1582a49208efe7f01535cf16b_22">
        <w:r>
          <w:rPr>
            <w:rStyle w:val="InternetLink"/>
          </w:rPr>
          <w:t>50</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1.18.</w:t>
      </w:r>
      <w:hyperlink w:anchor="i928bbdb1582a49208efe7f01535cf16b_22">
        <w:r>
          <w:rPr>
            <w:rStyle w:val="InternetLink"/>
          </w:rPr>
          <w:t>Insurance</w:t>
        </w:r>
      </w:hyperlink>
      <w:hyperlink w:anchor="i928bbdb1582a49208efe7f01535cf16b_22">
        <w:r>
          <w:rPr>
            <w:rStyle w:val="InternetLink"/>
          </w:rPr>
          <w:t>    </w:t>
        </w:r>
      </w:hyperlink>
      <w:hyperlink w:anchor="i928bbdb1582a49208efe7f01535cf16b_22">
        <w:r>
          <w:rPr>
            <w:rStyle w:val="InternetLink"/>
          </w:rPr>
          <w:t>50</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1.19.</w:t>
      </w:r>
      <w:hyperlink w:anchor="i928bbdb1582a49208efe7f01535cf16b_22">
        <w:r>
          <w:rPr>
            <w:rStyle w:val="InternetLink"/>
          </w:rPr>
          <w:t>Solvency</w:t>
        </w:r>
      </w:hyperlink>
      <w:hyperlink w:anchor="i928bbdb1582a49208efe7f01535cf16b_22">
        <w:r>
          <w:rPr>
            <w:rStyle w:val="InternetLink"/>
          </w:rPr>
          <w:t>    </w:t>
        </w:r>
      </w:hyperlink>
      <w:hyperlink w:anchor="i928bbdb1582a49208efe7f01535cf16b_22">
        <w:r>
          <w:rPr>
            <w:rStyle w:val="InternetLink"/>
          </w:rPr>
          <w:t>50</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1.20.</w:t>
      </w:r>
      <w:hyperlink w:anchor="i928bbdb1582a49208efe7f01535cf16b_22">
        <w:r>
          <w:rPr>
            <w:rStyle w:val="InternetLink"/>
          </w:rPr>
          <w:t>No Default</w:t>
        </w:r>
      </w:hyperlink>
      <w:hyperlink w:anchor="i928bbdb1582a49208efe7f01535cf16b_22">
        <w:r>
          <w:rPr>
            <w:rStyle w:val="InternetLink"/>
          </w:rPr>
          <w:t>    </w:t>
        </w:r>
      </w:hyperlink>
      <w:hyperlink w:anchor="i928bbdb1582a49208efe7f01535cf16b_22">
        <w:r>
          <w:rPr>
            <w:rStyle w:val="InternetLink"/>
          </w:rPr>
          <w:t>50</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1.21.</w:t>
      </w:r>
      <w:hyperlink w:anchor="i928bbdb1582a49208efe7f01535cf16b_22">
        <w:r>
          <w:rPr>
            <w:rStyle w:val="InternetLink"/>
          </w:rPr>
          <w:t>Anti-Corruption Laws; Sanctions</w:t>
        </w:r>
      </w:hyperlink>
      <w:hyperlink w:anchor="i928bbdb1582a49208efe7f01535cf16b_22">
        <w:r>
          <w:rPr>
            <w:rStyle w:val="InternetLink"/>
          </w:rPr>
          <w:t>    </w:t>
        </w:r>
      </w:hyperlink>
      <w:hyperlink w:anchor="i928bbdb1582a49208efe7f01535cf16b_22">
        <w:r>
          <w:rPr>
            <w:rStyle w:val="InternetLink"/>
          </w:rPr>
          <w:t>51</w:t>
        </w:r>
      </w:hyperlink>
    </w:p>
    <w:p>
      <w:pPr>
        <w:pStyle w:val="TextBody"/>
        <w:bidi w:val="0"/>
        <w:spacing w:lineRule="atLeast" w:line="252" w:before="2" w:after="283"/>
        <w:ind w:left="0" w:right="0" w:hanging="720"/>
        <w:jc w:val="left"/>
        <w:rPr/>
      </w:pPr>
      <w:r>
        <w:rPr>
          <w:rFonts w:ascii="Times New Roman;serif" w:hAnsi="Times New Roman;serif"/>
          <w:b w:val="false"/>
          <w:color w:val="000000"/>
          <w:sz w:val="22"/>
        </w:rPr>
        <w:t>1.22.</w:t>
      </w:r>
      <w:hyperlink w:anchor="i928bbdb1582a49208efe7f01535cf16b_22">
        <w:r>
          <w:rPr>
            <w:rStyle w:val="InternetLink"/>
          </w:rPr>
          <w:t>EEA Financial Institution</w:t>
        </w:r>
      </w:hyperlink>
      <w:hyperlink w:anchor="i928bbdb1582a49208efe7f01535cf16b_22">
        <w:r>
          <w:rPr>
            <w:rStyle w:val="InternetLink"/>
          </w:rPr>
          <w:t>    </w:t>
        </w:r>
      </w:hyperlink>
      <w:hyperlink w:anchor="i928bbdb1582a49208efe7f01535cf16b_22">
        <w:r>
          <w:rPr>
            <w:rStyle w:val="InternetLink"/>
          </w:rPr>
          <w:t>51</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1.23.</w:t>
      </w:r>
      <w:hyperlink w:anchor="i928bbdb1582a49208efe7f01535cf16b_22">
        <w:r>
          <w:rPr>
            <w:rStyle w:val="InternetLink"/>
          </w:rPr>
          <w:t>Full Disclosure</w:t>
        </w:r>
      </w:hyperlink>
      <w:hyperlink w:anchor="i928bbdb1582a49208efe7f01535cf16b_22">
        <w:r>
          <w:rPr>
            <w:rStyle w:val="InternetLink"/>
          </w:rPr>
          <w:t>    </w:t>
        </w:r>
      </w:hyperlink>
      <w:hyperlink w:anchor="i928bbdb1582a49208efe7f01535cf16b_22">
        <w:r>
          <w:rPr>
            <w:rStyle w:val="InternetLink"/>
          </w:rPr>
          <w:t>51</w:t>
        </w:r>
      </w:hyperlink>
    </w:p>
    <w:p>
      <w:pPr>
        <w:pStyle w:val="TextBody"/>
        <w:bidi w:val="0"/>
        <w:spacing w:lineRule="auto" w:line="288" w:before="1" w:after="283"/>
        <w:ind w:left="0" w:right="0" w:hanging="720"/>
        <w:jc w:val="left"/>
        <w:rPr/>
      </w:pPr>
      <w:r>
        <w:rPr>
          <w:rFonts w:ascii="Times New Roman;serif" w:hAnsi="Times New Roman;serif"/>
          <w:b w:val="false"/>
          <w:color w:val="000000"/>
          <w:sz w:val="22"/>
        </w:rPr>
        <w:t>1.24.</w:t>
      </w:r>
      <w:hyperlink w:anchor="i928bbdb1582a49208efe7f01535cf16b_22">
        <w:r>
          <w:rPr>
            <w:rStyle w:val="InternetLink"/>
          </w:rPr>
          <w:t>Subsidiaries</w:t>
        </w:r>
      </w:hyperlink>
      <w:hyperlink w:anchor="i928bbdb1582a49208efe7f01535cf16b_22">
        <w:r>
          <w:rPr>
            <w:rStyle w:val="InternetLink"/>
          </w:rPr>
          <w:t>    </w:t>
        </w:r>
      </w:hyperlink>
      <w:hyperlink w:anchor="i928bbdb1582a49208efe7f01535cf16b_22">
        <w:r>
          <w:rPr>
            <w:rStyle w:val="InternetLink"/>
          </w:rPr>
          <w:t>51</w:t>
        </w:r>
      </w:hyperlink>
    </w:p>
    <w:p>
      <w:pPr>
        <w:pStyle w:val="TextBody"/>
        <w:bidi w:val="0"/>
        <w:spacing w:lineRule="auto" w:line="288" w:before="242" w:after="283"/>
        <w:jc w:val="left"/>
        <w:rPr/>
      </w:pPr>
      <w:hyperlink w:anchor="i928bbdb1582a49208efe7f01535cf16b_22">
        <w:r>
          <w:rPr>
            <w:rStyle w:val="InternetLink"/>
          </w:rPr>
          <w:t>ARTICLE VI COVENANTS</w:t>
        </w:r>
      </w:hyperlink>
      <w:hyperlink w:anchor="i928bbdb1582a49208efe7f01535cf16b_22">
        <w:r>
          <w:rPr>
            <w:rStyle w:val="InternetLink"/>
          </w:rPr>
          <w:t>    </w:t>
        </w:r>
      </w:hyperlink>
      <w:hyperlink w:anchor="i928bbdb1582a49208efe7f01535cf16b_22">
        <w:r>
          <w:rPr>
            <w:rStyle w:val="InternetLink"/>
          </w:rPr>
          <w:t>51</w:t>
        </w:r>
      </w:hyperlink>
    </w:p>
    <w:p>
      <w:pPr>
        <w:pStyle w:val="TextBody"/>
        <w:bidi w:val="0"/>
        <w:spacing w:lineRule="auto" w:line="288" w:before="236" w:after="283"/>
        <w:ind w:left="0" w:right="0" w:hanging="720"/>
        <w:jc w:val="left"/>
        <w:rPr/>
      </w:pPr>
      <w:r>
        <w:rPr>
          <w:rFonts w:ascii="Times New Roman;serif" w:hAnsi="Times New Roman;serif"/>
          <w:b w:val="false"/>
          <w:color w:val="000000"/>
          <w:sz w:val="22"/>
        </w:rPr>
        <w:t>1.1.</w:t>
      </w:r>
      <w:hyperlink w:anchor="i928bbdb1582a49208efe7f01535cf16b_22">
        <w:r>
          <w:rPr>
            <w:rStyle w:val="InternetLink"/>
          </w:rPr>
          <w:t>Financial Reporting</w:t>
        </w:r>
      </w:hyperlink>
      <w:hyperlink w:anchor="i928bbdb1582a49208efe7f01535cf16b_22">
        <w:r>
          <w:rPr>
            <w:rStyle w:val="InternetLink"/>
          </w:rPr>
          <w:t>    </w:t>
        </w:r>
      </w:hyperlink>
      <w:hyperlink w:anchor="i928bbdb1582a49208efe7f01535cf16b_22">
        <w:r>
          <w:rPr>
            <w:rStyle w:val="InternetLink"/>
          </w:rPr>
          <w:t>51</w:t>
        </w:r>
      </w:hyperlink>
    </w:p>
    <w:p>
      <w:pPr>
        <w:pStyle w:val="TextBody"/>
        <w:bidi w:val="0"/>
        <w:spacing w:lineRule="atLeast" w:line="252" w:before="2" w:after="283"/>
        <w:ind w:left="0" w:right="0" w:hanging="720"/>
        <w:jc w:val="left"/>
        <w:rPr/>
      </w:pPr>
      <w:r>
        <w:rPr>
          <w:rFonts w:ascii="Times New Roman;serif" w:hAnsi="Times New Roman;serif"/>
          <w:b w:val="false"/>
          <w:color w:val="000000"/>
          <w:sz w:val="22"/>
        </w:rPr>
        <w:t>1.2.</w:t>
      </w:r>
      <w:hyperlink w:anchor="i928bbdb1582a49208efe7f01535cf16b_22">
        <w:r>
          <w:rPr>
            <w:rStyle w:val="InternetLink"/>
          </w:rPr>
          <w:t>Use of Proceeds</w:t>
        </w:r>
      </w:hyperlink>
      <w:hyperlink w:anchor="i928bbdb1582a49208efe7f01535cf16b_22">
        <w:r>
          <w:rPr>
            <w:rStyle w:val="InternetLink"/>
          </w:rPr>
          <w:t>    </w:t>
        </w:r>
      </w:hyperlink>
      <w:hyperlink w:anchor="i928bbdb1582a49208efe7f01535cf16b_22">
        <w:r>
          <w:rPr>
            <w:rStyle w:val="InternetLink"/>
          </w:rPr>
          <w:t>53</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1.3.</w:t>
      </w:r>
      <w:hyperlink w:anchor="i928bbdb1582a49208efe7f01535cf16b_22">
        <w:r>
          <w:rPr>
            <w:rStyle w:val="InternetLink"/>
          </w:rPr>
          <w:t>Notice of Material Events</w:t>
        </w:r>
      </w:hyperlink>
      <w:hyperlink w:anchor="i928bbdb1582a49208efe7f01535cf16b_22">
        <w:r>
          <w:rPr>
            <w:rStyle w:val="InternetLink"/>
          </w:rPr>
          <w:t>    </w:t>
        </w:r>
      </w:hyperlink>
      <w:hyperlink w:anchor="i928bbdb1582a49208efe7f01535cf16b_22">
        <w:r>
          <w:rPr>
            <w:rStyle w:val="InternetLink"/>
          </w:rPr>
          <w:t>53</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1.4.</w:t>
      </w:r>
      <w:hyperlink w:anchor="i928bbdb1582a49208efe7f01535cf16b_22">
        <w:r>
          <w:rPr>
            <w:rStyle w:val="InternetLink"/>
          </w:rPr>
          <w:t>Conduct of Business</w:t>
        </w:r>
      </w:hyperlink>
      <w:hyperlink w:anchor="i928bbdb1582a49208efe7f01535cf16b_22">
        <w:r>
          <w:rPr>
            <w:rStyle w:val="InternetLink"/>
          </w:rPr>
          <w:t>    </w:t>
        </w:r>
      </w:hyperlink>
      <w:hyperlink w:anchor="i928bbdb1582a49208efe7f01535cf16b_22">
        <w:r>
          <w:rPr>
            <w:rStyle w:val="InternetLink"/>
          </w:rPr>
          <w:t>54</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1.5.</w:t>
      </w:r>
      <w:hyperlink w:anchor="i928bbdb1582a49208efe7f01535cf16b_22">
        <w:r>
          <w:rPr>
            <w:rStyle w:val="InternetLink"/>
          </w:rPr>
          <w:t>Taxes</w:t>
        </w:r>
      </w:hyperlink>
      <w:hyperlink w:anchor="i928bbdb1582a49208efe7f01535cf16b_22">
        <w:r>
          <w:rPr>
            <w:rStyle w:val="InternetLink"/>
          </w:rPr>
          <w:t>    </w:t>
        </w:r>
      </w:hyperlink>
      <w:hyperlink w:anchor="i928bbdb1582a49208efe7f01535cf16b_22">
        <w:r>
          <w:rPr>
            <w:rStyle w:val="InternetLink"/>
          </w:rPr>
          <w:t>54</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1.6.</w:t>
      </w:r>
      <w:hyperlink w:anchor="i928bbdb1582a49208efe7f01535cf16b_22">
        <w:r>
          <w:rPr>
            <w:rStyle w:val="InternetLink"/>
          </w:rPr>
          <w:t>Insurance</w:t>
        </w:r>
      </w:hyperlink>
      <w:hyperlink w:anchor="i928bbdb1582a49208efe7f01535cf16b_22">
        <w:r>
          <w:rPr>
            <w:rStyle w:val="InternetLink"/>
          </w:rPr>
          <w:t>    </w:t>
        </w:r>
      </w:hyperlink>
      <w:hyperlink w:anchor="i928bbdb1582a49208efe7f01535cf16b_22">
        <w:r>
          <w:rPr>
            <w:rStyle w:val="InternetLink"/>
          </w:rPr>
          <w:t>54</w:t>
        </w:r>
      </w:hyperlink>
    </w:p>
    <w:p>
      <w:pPr>
        <w:pStyle w:val="TextBody"/>
        <w:bidi w:val="0"/>
        <w:spacing w:lineRule="atLeast" w:line="252" w:before="2" w:after="283"/>
        <w:ind w:left="0" w:right="0" w:hanging="720"/>
        <w:jc w:val="left"/>
        <w:rPr/>
      </w:pPr>
      <w:r>
        <w:rPr>
          <w:rFonts w:ascii="Times New Roman;serif" w:hAnsi="Times New Roman;serif"/>
          <w:b w:val="false"/>
          <w:color w:val="000000"/>
          <w:sz w:val="22"/>
        </w:rPr>
        <w:t>1.7.</w:t>
      </w:r>
      <w:hyperlink w:anchor="i928bbdb1582a49208efe7f01535cf16b_22">
        <w:r>
          <w:rPr>
            <w:rStyle w:val="InternetLink"/>
          </w:rPr>
          <w:t>Compliance with Laws and Material Contractual Obligations</w:t>
        </w:r>
      </w:hyperlink>
      <w:hyperlink w:anchor="i928bbdb1582a49208efe7f01535cf16b_22">
        <w:r>
          <w:rPr>
            <w:rStyle w:val="InternetLink"/>
          </w:rPr>
          <w:t>    </w:t>
        </w:r>
      </w:hyperlink>
      <w:hyperlink w:anchor="i928bbdb1582a49208efe7f01535cf16b_22">
        <w:r>
          <w:rPr>
            <w:rStyle w:val="InternetLink"/>
          </w:rPr>
          <w:t>54</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1.8.</w:t>
      </w:r>
      <w:hyperlink w:anchor="i928bbdb1582a49208efe7f01535cf16b_22">
        <w:r>
          <w:rPr>
            <w:rStyle w:val="InternetLink"/>
          </w:rPr>
          <w:t>Maintenance of Properties</w:t>
        </w:r>
      </w:hyperlink>
      <w:hyperlink w:anchor="i928bbdb1582a49208efe7f01535cf16b_22">
        <w:r>
          <w:rPr>
            <w:rStyle w:val="InternetLink"/>
          </w:rPr>
          <w:t>    </w:t>
        </w:r>
      </w:hyperlink>
      <w:hyperlink w:anchor="i928bbdb1582a49208efe7f01535cf16b_22">
        <w:r>
          <w:rPr>
            <w:rStyle w:val="InternetLink"/>
          </w:rPr>
          <w:t>54</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1.9.</w:t>
      </w:r>
      <w:hyperlink w:anchor="i928bbdb1582a49208efe7f01535cf16b_22">
        <w:r>
          <w:rPr>
            <w:rStyle w:val="InternetLink"/>
          </w:rPr>
          <w:t>Books and Records; Inspection</w:t>
        </w:r>
      </w:hyperlink>
      <w:hyperlink w:anchor="i928bbdb1582a49208efe7f01535cf16b_22">
        <w:r>
          <w:rPr>
            <w:rStyle w:val="InternetLink"/>
          </w:rPr>
          <w:t>    </w:t>
        </w:r>
      </w:hyperlink>
      <w:hyperlink w:anchor="i928bbdb1582a49208efe7f01535cf16b_22">
        <w:r>
          <w:rPr>
            <w:rStyle w:val="InternetLink"/>
          </w:rPr>
          <w:t>55</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1.10.</w:t>
      </w:r>
      <w:hyperlink w:anchor="i928bbdb1582a49208efe7f01535cf16b_22">
        <w:r>
          <w:rPr>
            <w:rStyle w:val="InternetLink"/>
          </w:rPr>
          <w:t>Payment of Obligations</w:t>
        </w:r>
      </w:hyperlink>
      <w:hyperlink w:anchor="i928bbdb1582a49208efe7f01535cf16b_22">
        <w:r>
          <w:rPr>
            <w:rStyle w:val="InternetLink"/>
          </w:rPr>
          <w:t>    </w:t>
        </w:r>
      </w:hyperlink>
      <w:hyperlink w:anchor="i928bbdb1582a49208efe7f01535cf16b_22">
        <w:r>
          <w:rPr>
            <w:rStyle w:val="InternetLink"/>
          </w:rPr>
          <w:t>55</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1.11.</w:t>
      </w:r>
      <w:hyperlink w:anchor="i928bbdb1582a49208efe7f01535cf16b_22">
        <w:r>
          <w:rPr>
            <w:rStyle w:val="InternetLink"/>
          </w:rPr>
          <w:t>Indebtedness</w:t>
        </w:r>
      </w:hyperlink>
      <w:hyperlink w:anchor="i928bbdb1582a49208efe7f01535cf16b_22">
        <w:r>
          <w:rPr>
            <w:rStyle w:val="InternetLink"/>
          </w:rPr>
          <w:t>    </w:t>
        </w:r>
      </w:hyperlink>
      <w:hyperlink w:anchor="i928bbdb1582a49208efe7f01535cf16b_22">
        <w:r>
          <w:rPr>
            <w:rStyle w:val="InternetLink"/>
          </w:rPr>
          <w:t>55</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1.12.</w:t>
      </w:r>
      <w:hyperlink w:anchor="i928bbdb1582a49208efe7f01535cf16b_22">
        <w:r>
          <w:rPr>
            <w:rStyle w:val="InternetLink"/>
          </w:rPr>
          <w:t>Merger</w:t>
        </w:r>
      </w:hyperlink>
      <w:hyperlink w:anchor="i928bbdb1582a49208efe7f01535cf16b_22">
        <w:r>
          <w:rPr>
            <w:rStyle w:val="InternetLink"/>
          </w:rPr>
          <w:t>    </w:t>
        </w:r>
      </w:hyperlink>
      <w:hyperlink w:anchor="i928bbdb1582a49208efe7f01535cf16b_22">
        <w:r>
          <w:rPr>
            <w:rStyle w:val="InternetLink"/>
          </w:rPr>
          <w:t>55</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1.13.</w:t>
      </w:r>
      <w:hyperlink w:anchor="i928bbdb1582a49208efe7f01535cf16b_22">
        <w:r>
          <w:rPr>
            <w:rStyle w:val="InternetLink"/>
          </w:rPr>
          <w:t>Sale of Assets</w:t>
        </w:r>
      </w:hyperlink>
      <w:hyperlink w:anchor="i928bbdb1582a49208efe7f01535cf16b_22">
        <w:r>
          <w:rPr>
            <w:rStyle w:val="InternetLink"/>
          </w:rPr>
          <w:t>    </w:t>
        </w:r>
      </w:hyperlink>
      <w:hyperlink w:anchor="i928bbdb1582a49208efe7f01535cf16b_22">
        <w:r>
          <w:rPr>
            <w:rStyle w:val="InternetLink"/>
          </w:rPr>
          <w:t>56</w:t>
        </w:r>
      </w:hyperlink>
    </w:p>
    <w:p>
      <w:pPr>
        <w:pStyle w:val="TextBody"/>
        <w:bidi w:val="0"/>
        <w:spacing w:lineRule="atLeast" w:line="252" w:before="2" w:after="283"/>
        <w:ind w:left="0" w:right="0" w:hanging="720"/>
        <w:jc w:val="left"/>
        <w:rPr/>
      </w:pPr>
      <w:r>
        <w:rPr>
          <w:rFonts w:ascii="Times New Roman;serif" w:hAnsi="Times New Roman;serif"/>
          <w:b w:val="false"/>
          <w:color w:val="000000"/>
          <w:sz w:val="22"/>
        </w:rPr>
        <w:t>1.14.</w:t>
      </w:r>
      <w:hyperlink w:anchor="i928bbdb1582a49208efe7f01535cf16b_22">
        <w:r>
          <w:rPr>
            <w:rStyle w:val="InternetLink"/>
          </w:rPr>
          <w:t>Investments</w:t>
        </w:r>
      </w:hyperlink>
      <w:hyperlink w:anchor="i928bbdb1582a49208efe7f01535cf16b_22">
        <w:r>
          <w:rPr>
            <w:rStyle w:val="InternetLink"/>
          </w:rPr>
          <w:t>    </w:t>
        </w:r>
      </w:hyperlink>
      <w:hyperlink w:anchor="i928bbdb1582a49208efe7f01535cf16b_22">
        <w:r>
          <w:rPr>
            <w:rStyle w:val="InternetLink"/>
          </w:rPr>
          <w:t>56</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1.15.</w:t>
      </w:r>
      <w:hyperlink w:anchor="i928bbdb1582a49208efe7f01535cf16b_22">
        <w:r>
          <w:rPr>
            <w:rStyle w:val="InternetLink"/>
          </w:rPr>
          <w:t>Acquisitions</w:t>
        </w:r>
      </w:hyperlink>
      <w:hyperlink w:anchor="i928bbdb1582a49208efe7f01535cf16b_22">
        <w:r>
          <w:rPr>
            <w:rStyle w:val="InternetLink"/>
          </w:rPr>
          <w:t>    </w:t>
        </w:r>
      </w:hyperlink>
      <w:hyperlink w:anchor="i928bbdb1582a49208efe7f01535cf16b_22">
        <w:r>
          <w:rPr>
            <w:rStyle w:val="InternetLink"/>
          </w:rPr>
          <w:t>57</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1.16.</w:t>
      </w:r>
      <w:hyperlink w:anchor="i928bbdb1582a49208efe7f01535cf16b_22">
        <w:r>
          <w:rPr>
            <w:rStyle w:val="InternetLink"/>
          </w:rPr>
          <w:t>Liens</w:t>
        </w:r>
      </w:hyperlink>
      <w:hyperlink w:anchor="i928bbdb1582a49208efe7f01535cf16b_22">
        <w:r>
          <w:rPr>
            <w:rStyle w:val="InternetLink"/>
          </w:rPr>
          <w:t>    </w:t>
        </w:r>
      </w:hyperlink>
      <w:hyperlink w:anchor="i928bbdb1582a49208efe7f01535cf16b_22">
        <w:r>
          <w:rPr>
            <w:rStyle w:val="InternetLink"/>
          </w:rPr>
          <w:t>57</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1.17.</w:t>
      </w:r>
      <w:hyperlink w:anchor="i928bbdb1582a49208efe7f01535cf16b_22">
        <w:r>
          <w:rPr>
            <w:rStyle w:val="InternetLink"/>
          </w:rPr>
          <w:t>Transactions with Affiliates</w:t>
        </w:r>
      </w:hyperlink>
      <w:hyperlink w:anchor="i928bbdb1582a49208efe7f01535cf16b_22">
        <w:r>
          <w:rPr>
            <w:rStyle w:val="InternetLink"/>
          </w:rPr>
          <w:t>    </w:t>
        </w:r>
      </w:hyperlink>
      <w:hyperlink w:anchor="i928bbdb1582a49208efe7f01535cf16b_22">
        <w:r>
          <w:rPr>
            <w:rStyle w:val="InternetLink"/>
          </w:rPr>
          <w:t>58</w:t>
        </w:r>
      </w:hyperlink>
    </w:p>
    <w:p>
      <w:pPr>
        <w:pStyle w:val="TextBody"/>
        <w:bidi w:val="0"/>
        <w:spacing w:lineRule="atLeast" w:line="252"/>
        <w:ind w:left="0" w:right="0" w:hanging="720"/>
        <w:jc w:val="left"/>
        <w:rPr/>
      </w:pPr>
      <w:r>
        <w:rPr>
          <w:rFonts w:ascii="Times New Roman;serif" w:hAnsi="Times New Roman;serif"/>
          <w:b w:val="false"/>
          <w:color w:val="000000"/>
          <w:sz w:val="22"/>
        </w:rPr>
        <w:t>1.18.</w:t>
      </w:r>
      <w:hyperlink w:anchor="i928bbdb1582a49208efe7f01535cf16b_22">
        <w:r>
          <w:rPr>
            <w:rStyle w:val="InternetLink"/>
          </w:rPr>
          <w:t>Rate Protection and Foreign Currency Hedging Agreements</w:t>
        </w:r>
      </w:hyperlink>
      <w:hyperlink w:anchor="i928bbdb1582a49208efe7f01535cf16b_22">
        <w:r>
          <w:rPr>
            <w:rStyle w:val="InternetLink"/>
          </w:rPr>
          <w:t>    </w:t>
        </w:r>
      </w:hyperlink>
      <w:hyperlink w:anchor="i928bbdb1582a49208efe7f01535cf16b_22">
        <w:r>
          <w:rPr>
            <w:rStyle w:val="InternetLink"/>
          </w:rPr>
          <w:t>58</w:t>
        </w:r>
      </w:hyperlink>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 w:after="20"/>
        <w:ind w:left="0" w:right="0" w:hanging="720"/>
        <w:jc w:val="left"/>
        <w:rPr/>
      </w:pPr>
      <w:r>
        <w:rPr>
          <w:rFonts w:ascii="Times New Roman;serif" w:hAnsi="Times New Roman;serif"/>
          <w:b w:val="false"/>
          <w:color w:val="000000"/>
          <w:sz w:val="22"/>
        </w:rPr>
        <w:t>1.19.</w:t>
      </w:r>
      <w:hyperlink w:anchor="i928bbdb1582a49208efe7f01535cf16b_22">
        <w:r>
          <w:rPr>
            <w:rStyle w:val="InternetLink"/>
          </w:rPr>
          <w:t>Restricted Payments</w:t>
        </w:r>
      </w:hyperlink>
      <w:hyperlink w:anchor="i928bbdb1582a49208efe7f01535cf16b_22">
        <w:r>
          <w:rPr>
            <w:rStyle w:val="InternetLink"/>
          </w:rPr>
          <w:t>    </w:t>
        </w:r>
      </w:hyperlink>
      <w:hyperlink w:anchor="i928bbdb1582a49208efe7f01535cf16b_22">
        <w:r>
          <w:rPr>
            <w:rStyle w:val="InternetLink"/>
          </w:rPr>
          <w:t>58</w:t>
        </w:r>
      </w:hyperlink>
    </w:p>
    <w:p>
      <w:pPr>
        <w:pStyle w:val="TextBody"/>
        <w:bidi w:val="0"/>
        <w:spacing w:lineRule="atLeast" w:line="252" w:before="79" w:after="283"/>
        <w:ind w:left="0" w:right="0" w:hanging="720"/>
        <w:jc w:val="left"/>
        <w:rPr/>
      </w:pPr>
      <w:r>
        <w:rPr>
          <w:rFonts w:ascii="Times New Roman;serif" w:hAnsi="Times New Roman;serif"/>
          <w:b w:val="false"/>
          <w:color w:val="000000"/>
          <w:sz w:val="22"/>
        </w:rPr>
        <w:t>1.20.</w:t>
      </w:r>
      <w:hyperlink w:anchor="i928bbdb1582a49208efe7f01535cf16b_22">
        <w:r>
          <w:rPr>
            <w:rStyle w:val="InternetLink"/>
          </w:rPr>
          <w:t>Restrictive Agreements</w:t>
        </w:r>
      </w:hyperlink>
      <w:hyperlink w:anchor="i928bbdb1582a49208efe7f01535cf16b_22">
        <w:r>
          <w:rPr>
            <w:rStyle w:val="InternetLink"/>
          </w:rPr>
          <w:t>    </w:t>
        </w:r>
      </w:hyperlink>
      <w:hyperlink w:anchor="i928bbdb1582a49208efe7f01535cf16b_22">
        <w:r>
          <w:rPr>
            <w:rStyle w:val="InternetLink"/>
          </w:rPr>
          <w:t>58</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1.21.</w:t>
      </w:r>
      <w:hyperlink w:anchor="i928bbdb1582a49208efe7f01535cf16b_22">
        <w:r>
          <w:rPr>
            <w:rStyle w:val="InternetLink"/>
          </w:rPr>
          <w:t>Financial Covenants</w:t>
        </w:r>
      </w:hyperlink>
      <w:hyperlink w:anchor="i928bbdb1582a49208efe7f01535cf16b_22">
        <w:r>
          <w:rPr>
            <w:rStyle w:val="InternetLink"/>
          </w:rPr>
          <w:t>    </w:t>
        </w:r>
      </w:hyperlink>
      <w:hyperlink w:anchor="i928bbdb1582a49208efe7f01535cf16b_22">
        <w:r>
          <w:rPr>
            <w:rStyle w:val="InternetLink"/>
          </w:rPr>
          <w:t>58</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1.22.</w:t>
      </w:r>
      <w:hyperlink w:anchor="i928bbdb1582a49208efe7f01535cf16b_22">
        <w:r>
          <w:rPr>
            <w:rStyle w:val="InternetLink"/>
          </w:rPr>
          <w:t>Material Domestic Subsidiaries</w:t>
        </w:r>
      </w:hyperlink>
      <w:hyperlink w:anchor="i928bbdb1582a49208efe7f01535cf16b_22">
        <w:r>
          <w:rPr>
            <w:rStyle w:val="InternetLink"/>
          </w:rPr>
          <w:t>    </w:t>
        </w:r>
      </w:hyperlink>
      <w:hyperlink w:anchor="i928bbdb1582a49208efe7f01535cf16b_22">
        <w:r>
          <w:rPr>
            <w:rStyle w:val="InternetLink"/>
          </w:rPr>
          <w:t>59</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1.23.</w:t>
      </w:r>
      <w:hyperlink w:anchor="i928bbdb1582a49208efe7f01535cf16b_22">
        <w:r>
          <w:rPr>
            <w:rStyle w:val="InternetLink"/>
          </w:rPr>
          <w:t>Further Assurances</w:t>
        </w:r>
      </w:hyperlink>
      <w:hyperlink w:anchor="i928bbdb1582a49208efe7f01535cf16b_22">
        <w:r>
          <w:rPr>
            <w:rStyle w:val="InternetLink"/>
          </w:rPr>
          <w:t>    </w:t>
        </w:r>
      </w:hyperlink>
      <w:hyperlink w:anchor="i928bbdb1582a49208efe7f01535cf16b_22">
        <w:r>
          <w:rPr>
            <w:rStyle w:val="InternetLink"/>
          </w:rPr>
          <w:t>59</w:t>
        </w:r>
      </w:hyperlink>
    </w:p>
    <w:p>
      <w:pPr>
        <w:pStyle w:val="TextBody"/>
        <w:bidi w:val="0"/>
        <w:spacing w:lineRule="atLeast" w:line="252" w:before="2" w:after="283"/>
        <w:ind w:left="0" w:right="0" w:hanging="720"/>
        <w:jc w:val="left"/>
        <w:rPr/>
      </w:pPr>
      <w:r>
        <w:rPr>
          <w:rFonts w:ascii="Times New Roman;serif" w:hAnsi="Times New Roman;serif"/>
          <w:b w:val="false"/>
          <w:color w:val="000000"/>
          <w:sz w:val="22"/>
        </w:rPr>
        <w:t>1.24.</w:t>
      </w:r>
      <w:hyperlink w:anchor="i928bbdb1582a49208efe7f01535cf16b_22">
        <w:r>
          <w:rPr>
            <w:rStyle w:val="InternetLink"/>
          </w:rPr>
          <w:t>Anti-Money Laundering Compliance</w:t>
        </w:r>
      </w:hyperlink>
      <w:hyperlink w:anchor="i928bbdb1582a49208efe7f01535cf16b_22">
        <w:r>
          <w:rPr>
            <w:rStyle w:val="InternetLink"/>
          </w:rPr>
          <w:t>    </w:t>
        </w:r>
      </w:hyperlink>
      <w:hyperlink w:anchor="i928bbdb1582a49208efe7f01535cf16b_22">
        <w:r>
          <w:rPr>
            <w:rStyle w:val="InternetLink"/>
          </w:rPr>
          <w:t>59</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1.25.</w:t>
      </w:r>
      <w:hyperlink w:anchor="i928bbdb1582a49208efe7f01535cf16b_22">
        <w:r>
          <w:rPr>
            <w:rStyle w:val="InternetLink"/>
          </w:rPr>
          <w:t>Deposit Accounts</w:t>
        </w:r>
      </w:hyperlink>
      <w:hyperlink w:anchor="i928bbdb1582a49208efe7f01535cf16b_22">
        <w:r>
          <w:rPr>
            <w:rStyle w:val="InternetLink"/>
          </w:rPr>
          <w:t>    </w:t>
        </w:r>
      </w:hyperlink>
      <w:hyperlink w:anchor="i928bbdb1582a49208efe7f01535cf16b_22">
        <w:r>
          <w:rPr>
            <w:rStyle w:val="InternetLink"/>
          </w:rPr>
          <w:t>59</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1.26.</w:t>
      </w:r>
      <w:hyperlink w:anchor="i928bbdb1582a49208efe7f01535cf16b_22">
        <w:r>
          <w:rPr>
            <w:rStyle w:val="InternetLink"/>
          </w:rPr>
          <w:t>Existence</w:t>
        </w:r>
      </w:hyperlink>
      <w:hyperlink w:anchor="i928bbdb1582a49208efe7f01535cf16b_22">
        <w:r>
          <w:rPr>
            <w:rStyle w:val="InternetLink"/>
          </w:rPr>
          <w:t>    </w:t>
        </w:r>
      </w:hyperlink>
      <w:hyperlink w:anchor="i928bbdb1582a49208efe7f01535cf16b_22">
        <w:r>
          <w:rPr>
            <w:rStyle w:val="InternetLink"/>
          </w:rPr>
          <w:t>59</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1.27.</w:t>
      </w:r>
      <w:hyperlink w:anchor="i928bbdb1582a49208efe7f01535cf16b_22">
        <w:r>
          <w:rPr>
            <w:rStyle w:val="InternetLink"/>
          </w:rPr>
          <w:t>Additional Restricted Subsidiaries</w:t>
        </w:r>
      </w:hyperlink>
      <w:hyperlink w:anchor="i928bbdb1582a49208efe7f01535cf16b_22">
        <w:r>
          <w:rPr>
            <w:rStyle w:val="InternetLink"/>
          </w:rPr>
          <w:t>    </w:t>
        </w:r>
      </w:hyperlink>
      <w:hyperlink w:anchor="i928bbdb1582a49208efe7f01535cf16b_22">
        <w:r>
          <w:rPr>
            <w:rStyle w:val="InternetLink"/>
          </w:rPr>
          <w:t>59</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1.28.</w:t>
      </w:r>
      <w:hyperlink w:anchor="i928bbdb1582a49208efe7f01535cf16b_22">
        <w:r>
          <w:rPr>
            <w:rStyle w:val="InternetLink"/>
          </w:rPr>
          <w:t>China Cash Balances</w:t>
        </w:r>
      </w:hyperlink>
      <w:hyperlink w:anchor="i928bbdb1582a49208efe7f01535cf16b_22">
        <w:r>
          <w:rPr>
            <w:rStyle w:val="InternetLink"/>
          </w:rPr>
          <w:t>    </w:t>
        </w:r>
      </w:hyperlink>
      <w:hyperlink w:anchor="i928bbdb1582a49208efe7f01535cf16b_22">
        <w:r>
          <w:rPr>
            <w:rStyle w:val="InternetLink"/>
          </w:rPr>
          <w:t>59</w:t>
        </w:r>
      </w:hyperlink>
    </w:p>
    <w:p>
      <w:pPr>
        <w:pStyle w:val="TextBody"/>
        <w:bidi w:val="0"/>
        <w:spacing w:lineRule="auto" w:line="288" w:before="244" w:after="283"/>
        <w:jc w:val="left"/>
        <w:rPr/>
      </w:pPr>
      <w:hyperlink w:anchor="i928bbdb1582a49208efe7f01535cf16b_22">
        <w:r>
          <w:rPr>
            <w:rStyle w:val="InternetLink"/>
          </w:rPr>
          <w:t>ARTICLE VII DEFAULTS</w:t>
        </w:r>
      </w:hyperlink>
      <w:hyperlink w:anchor="i928bbdb1582a49208efe7f01535cf16b_22">
        <w:r>
          <w:rPr>
            <w:rStyle w:val="InternetLink"/>
          </w:rPr>
          <w:t>    </w:t>
        </w:r>
      </w:hyperlink>
      <w:hyperlink w:anchor="i928bbdb1582a49208efe7f01535cf16b_22">
        <w:r>
          <w:rPr>
            <w:rStyle w:val="InternetLink"/>
          </w:rPr>
          <w:t>60</w:t>
        </w:r>
      </w:hyperlink>
    </w:p>
    <w:p>
      <w:pPr>
        <w:pStyle w:val="TextBody"/>
        <w:bidi w:val="0"/>
        <w:spacing w:lineRule="auto" w:line="288" w:before="239" w:after="283"/>
        <w:jc w:val="left"/>
        <w:rPr/>
      </w:pPr>
      <w:hyperlink w:anchor="i928bbdb1582a49208efe7f01535cf16b_22">
        <w:r>
          <w:rPr>
            <w:rStyle w:val="InternetLink"/>
          </w:rPr>
          <w:t>ARTICLE VIII ACCELERATION, WAIVERS, AMENDMENTS AND REMEDIES</w:t>
        </w:r>
      </w:hyperlink>
      <w:hyperlink w:anchor="i928bbdb1582a49208efe7f01535cf16b_22">
        <w:r>
          <w:rPr>
            <w:rStyle w:val="InternetLink"/>
          </w:rPr>
          <w:t>    </w:t>
        </w:r>
      </w:hyperlink>
      <w:hyperlink w:anchor="i928bbdb1582a49208efe7f01535cf16b_22">
        <w:r>
          <w:rPr>
            <w:rStyle w:val="InternetLink"/>
          </w:rPr>
          <w:t>62</w:t>
        </w:r>
      </w:hyperlink>
    </w:p>
    <w:p>
      <w:pPr>
        <w:pStyle w:val="TextBody"/>
        <w:bidi w:val="0"/>
        <w:spacing w:lineRule="auto" w:line="288" w:before="237" w:after="283"/>
        <w:ind w:left="0" w:right="0" w:hanging="720"/>
        <w:jc w:val="left"/>
        <w:rPr/>
      </w:pPr>
      <w:r>
        <w:rPr>
          <w:rFonts w:ascii="Times New Roman;serif" w:hAnsi="Times New Roman;serif"/>
          <w:b w:val="false"/>
          <w:color w:val="000000"/>
          <w:sz w:val="22"/>
        </w:rPr>
        <w:t>1.1.</w:t>
      </w:r>
      <w:hyperlink w:anchor="i928bbdb1582a49208efe7f01535cf16b_22">
        <w:r>
          <w:rPr>
            <w:rStyle w:val="InternetLink"/>
          </w:rPr>
          <w:t>Acceleration; Remedies</w:t>
        </w:r>
      </w:hyperlink>
      <w:hyperlink w:anchor="i928bbdb1582a49208efe7f01535cf16b_22">
        <w:r>
          <w:rPr>
            <w:rStyle w:val="InternetLink"/>
          </w:rPr>
          <w:t>    </w:t>
        </w:r>
      </w:hyperlink>
      <w:hyperlink w:anchor="i928bbdb1582a49208efe7f01535cf16b_22">
        <w:r>
          <w:rPr>
            <w:rStyle w:val="InternetLink"/>
          </w:rPr>
          <w:t>62</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1.2.</w:t>
      </w:r>
      <w:hyperlink w:anchor="i928bbdb1582a49208efe7f01535cf16b_22">
        <w:r>
          <w:rPr>
            <w:rStyle w:val="InternetLink"/>
          </w:rPr>
          <w:t>Application of Funds</w:t>
        </w:r>
      </w:hyperlink>
      <w:hyperlink w:anchor="i928bbdb1582a49208efe7f01535cf16b_22">
        <w:r>
          <w:rPr>
            <w:rStyle w:val="InternetLink"/>
          </w:rPr>
          <w:t>    </w:t>
        </w:r>
      </w:hyperlink>
      <w:hyperlink w:anchor="i928bbdb1582a49208efe7f01535cf16b_22">
        <w:r>
          <w:rPr>
            <w:rStyle w:val="InternetLink"/>
          </w:rPr>
          <w:t>63</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1.3.</w:t>
      </w:r>
      <w:hyperlink w:anchor="i928bbdb1582a49208efe7f01535cf16b_22">
        <w:r>
          <w:rPr>
            <w:rStyle w:val="InternetLink"/>
          </w:rPr>
          <w:t>Amendments</w:t>
        </w:r>
      </w:hyperlink>
      <w:hyperlink w:anchor="i928bbdb1582a49208efe7f01535cf16b_22">
        <w:r>
          <w:rPr>
            <w:rStyle w:val="InternetLink"/>
          </w:rPr>
          <w:t>    </w:t>
        </w:r>
      </w:hyperlink>
      <w:hyperlink w:anchor="i928bbdb1582a49208efe7f01535cf16b_22">
        <w:r>
          <w:rPr>
            <w:rStyle w:val="InternetLink"/>
          </w:rPr>
          <w:t>64</w:t>
        </w:r>
      </w:hyperlink>
    </w:p>
    <w:p>
      <w:pPr>
        <w:pStyle w:val="TextBody"/>
        <w:bidi w:val="0"/>
        <w:spacing w:lineRule="auto" w:line="288" w:before="2" w:after="283"/>
        <w:ind w:left="0" w:right="0" w:hanging="720"/>
        <w:jc w:val="left"/>
        <w:rPr/>
      </w:pPr>
      <w:r>
        <w:rPr>
          <w:rFonts w:ascii="Times New Roman;serif" w:hAnsi="Times New Roman;serif"/>
          <w:b w:val="false"/>
          <w:color w:val="000000"/>
          <w:sz w:val="22"/>
        </w:rPr>
        <w:t>1.4.</w:t>
      </w:r>
      <w:hyperlink w:anchor="i928bbdb1582a49208efe7f01535cf16b_22">
        <w:r>
          <w:rPr>
            <w:rStyle w:val="InternetLink"/>
          </w:rPr>
          <w:t>Preservation of Rights</w:t>
        </w:r>
      </w:hyperlink>
      <w:hyperlink w:anchor="i928bbdb1582a49208efe7f01535cf16b_22">
        <w:r>
          <w:rPr>
            <w:rStyle w:val="InternetLink"/>
          </w:rPr>
          <w:t>    </w:t>
        </w:r>
      </w:hyperlink>
      <w:hyperlink w:anchor="i928bbdb1582a49208efe7f01535cf16b_22">
        <w:r>
          <w:rPr>
            <w:rStyle w:val="InternetLink"/>
          </w:rPr>
          <w:t>64</w:t>
        </w:r>
      </w:hyperlink>
    </w:p>
    <w:p>
      <w:pPr>
        <w:pStyle w:val="TextBody"/>
        <w:bidi w:val="0"/>
        <w:spacing w:lineRule="auto" w:line="288" w:before="241" w:after="283"/>
        <w:jc w:val="left"/>
        <w:rPr/>
      </w:pPr>
      <w:hyperlink w:anchor="i928bbdb1582a49208efe7f01535cf16b_22">
        <w:r>
          <w:rPr>
            <w:rStyle w:val="InternetLink"/>
          </w:rPr>
          <w:t>ARTICLE IX GENERAL PROVISIONS</w:t>
        </w:r>
      </w:hyperlink>
      <w:hyperlink w:anchor="i928bbdb1582a49208efe7f01535cf16b_22">
        <w:r>
          <w:rPr>
            <w:rStyle w:val="InternetLink"/>
          </w:rPr>
          <w:t>    </w:t>
        </w:r>
      </w:hyperlink>
      <w:hyperlink w:anchor="i928bbdb1582a49208efe7f01535cf16b_22">
        <w:r>
          <w:rPr>
            <w:rStyle w:val="InternetLink"/>
          </w:rPr>
          <w:t>65</w:t>
        </w:r>
      </w:hyperlink>
    </w:p>
    <w:p>
      <w:pPr>
        <w:pStyle w:val="TextBody"/>
        <w:bidi w:val="0"/>
        <w:spacing w:lineRule="atLeast" w:line="252" w:before="239" w:after="283"/>
        <w:ind w:left="0" w:right="0" w:hanging="720"/>
        <w:jc w:val="left"/>
        <w:rPr/>
      </w:pPr>
      <w:r>
        <w:rPr>
          <w:rFonts w:ascii="Times New Roman;serif" w:hAnsi="Times New Roman;serif"/>
          <w:b w:val="false"/>
          <w:color w:val="000000"/>
          <w:sz w:val="22"/>
        </w:rPr>
        <w:t>1.1.</w:t>
      </w:r>
      <w:hyperlink w:anchor="i928bbdb1582a49208efe7f01535cf16b_22">
        <w:r>
          <w:rPr>
            <w:rStyle w:val="InternetLink"/>
          </w:rPr>
          <w:t>Survival of Representations</w:t>
        </w:r>
      </w:hyperlink>
      <w:hyperlink w:anchor="i928bbdb1582a49208efe7f01535cf16b_22">
        <w:r>
          <w:rPr>
            <w:rStyle w:val="InternetLink"/>
          </w:rPr>
          <w:t>    </w:t>
        </w:r>
      </w:hyperlink>
      <w:hyperlink w:anchor="i928bbdb1582a49208efe7f01535cf16b_22">
        <w:r>
          <w:rPr>
            <w:rStyle w:val="InternetLink"/>
          </w:rPr>
          <w:t>65</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w:t>
      </w:r>
      <w:hyperlink w:anchor="i928bbdb1582a49208efe7f01535cf16b_22">
        <w:r>
          <w:rPr>
            <w:rStyle w:val="InternetLink"/>
          </w:rPr>
          <w:t>Governmental Regulation</w:t>
        </w:r>
      </w:hyperlink>
      <w:hyperlink w:anchor="i928bbdb1582a49208efe7f01535cf16b_22">
        <w:r>
          <w:rPr>
            <w:rStyle w:val="InternetLink"/>
          </w:rPr>
          <w:t>    </w:t>
        </w:r>
      </w:hyperlink>
      <w:hyperlink w:anchor="i928bbdb1582a49208efe7f01535cf16b_22">
        <w:r>
          <w:rPr>
            <w:rStyle w:val="InternetLink"/>
          </w:rPr>
          <w:t>65</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1.3.</w:t>
      </w:r>
      <w:hyperlink w:anchor="i928bbdb1582a49208efe7f01535cf16b_22">
        <w:r>
          <w:rPr>
            <w:rStyle w:val="InternetLink"/>
          </w:rPr>
          <w:t>Headings</w:t>
        </w:r>
      </w:hyperlink>
      <w:hyperlink w:anchor="i928bbdb1582a49208efe7f01535cf16b_22">
        <w:r>
          <w:rPr>
            <w:rStyle w:val="InternetLink"/>
          </w:rPr>
          <w:t>    </w:t>
        </w:r>
      </w:hyperlink>
      <w:hyperlink w:anchor="i928bbdb1582a49208efe7f01535cf16b_22">
        <w:r>
          <w:rPr>
            <w:rStyle w:val="InternetLink"/>
          </w:rPr>
          <w:t>65</w:t>
        </w:r>
      </w:hyperlink>
    </w:p>
    <w:p>
      <w:pPr>
        <w:pStyle w:val="TextBody"/>
        <w:bidi w:val="0"/>
        <w:spacing w:lineRule="atLeast" w:line="252" w:before="2" w:after="283"/>
        <w:ind w:left="0" w:right="0" w:hanging="720"/>
        <w:jc w:val="left"/>
        <w:rPr/>
      </w:pPr>
      <w:r>
        <w:rPr>
          <w:rFonts w:ascii="Times New Roman;serif" w:hAnsi="Times New Roman;serif"/>
          <w:b w:val="false"/>
          <w:color w:val="000000"/>
          <w:sz w:val="22"/>
        </w:rPr>
        <w:t>1.4.</w:t>
      </w:r>
      <w:hyperlink w:anchor="i928bbdb1582a49208efe7f01535cf16b_22">
        <w:r>
          <w:rPr>
            <w:rStyle w:val="InternetLink"/>
          </w:rPr>
          <w:t>Entire Agreement</w:t>
        </w:r>
      </w:hyperlink>
      <w:hyperlink w:anchor="i928bbdb1582a49208efe7f01535cf16b_22">
        <w:r>
          <w:rPr>
            <w:rStyle w:val="InternetLink"/>
          </w:rPr>
          <w:t>    </w:t>
        </w:r>
      </w:hyperlink>
      <w:hyperlink w:anchor="i928bbdb1582a49208efe7f01535cf16b_22">
        <w:r>
          <w:rPr>
            <w:rStyle w:val="InternetLink"/>
          </w:rPr>
          <w:t>65</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1.5.</w:t>
      </w:r>
      <w:hyperlink w:anchor="i928bbdb1582a49208efe7f01535cf16b_22">
        <w:r>
          <w:rPr>
            <w:rStyle w:val="InternetLink"/>
          </w:rPr>
          <w:t>Several Obligations; Benefits of this Agreement</w:t>
        </w:r>
      </w:hyperlink>
      <w:hyperlink w:anchor="i928bbdb1582a49208efe7f01535cf16b_22">
        <w:r>
          <w:rPr>
            <w:rStyle w:val="InternetLink"/>
          </w:rPr>
          <w:t>    </w:t>
        </w:r>
      </w:hyperlink>
      <w:hyperlink w:anchor="i928bbdb1582a49208efe7f01535cf16b_22">
        <w:r>
          <w:rPr>
            <w:rStyle w:val="InternetLink"/>
          </w:rPr>
          <w:t>65</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1.6.</w:t>
      </w:r>
      <w:hyperlink w:anchor="i928bbdb1582a49208efe7f01535cf16b_22">
        <w:r>
          <w:rPr>
            <w:rStyle w:val="InternetLink"/>
          </w:rPr>
          <w:t>Expenses; Indemnification</w:t>
        </w:r>
      </w:hyperlink>
      <w:hyperlink w:anchor="i928bbdb1582a49208efe7f01535cf16b_22">
        <w:r>
          <w:rPr>
            <w:rStyle w:val="InternetLink"/>
          </w:rPr>
          <w:t>    </w:t>
        </w:r>
      </w:hyperlink>
      <w:hyperlink w:anchor="i928bbdb1582a49208efe7f01535cf16b_22">
        <w:r>
          <w:rPr>
            <w:rStyle w:val="InternetLink"/>
          </w:rPr>
          <w:t>65</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1.7.</w:t>
      </w:r>
      <w:hyperlink w:anchor="i928bbdb1582a49208efe7f01535cf16b_22">
        <w:r>
          <w:rPr>
            <w:rStyle w:val="InternetLink"/>
          </w:rPr>
          <w:t>Numbers of Documents</w:t>
        </w:r>
      </w:hyperlink>
      <w:hyperlink w:anchor="i928bbdb1582a49208efe7f01535cf16b_22">
        <w:r>
          <w:rPr>
            <w:rStyle w:val="InternetLink"/>
          </w:rPr>
          <w:t>    </w:t>
        </w:r>
      </w:hyperlink>
      <w:hyperlink w:anchor="i928bbdb1582a49208efe7f01535cf16b_22">
        <w:r>
          <w:rPr>
            <w:rStyle w:val="InternetLink"/>
          </w:rPr>
          <w:t>66</w:t>
        </w:r>
      </w:hyperlink>
    </w:p>
    <w:p>
      <w:pPr>
        <w:pStyle w:val="TextBody"/>
        <w:bidi w:val="0"/>
        <w:spacing w:lineRule="atLeast" w:line="253" w:before="0" w:after="0"/>
        <w:ind w:left="0" w:right="0" w:hanging="720"/>
        <w:jc w:val="left"/>
        <w:rPr/>
      </w:pPr>
      <w:r>
        <w:rPr>
          <w:rFonts w:ascii="Times New Roman;serif" w:hAnsi="Times New Roman;serif"/>
          <w:b w:val="false"/>
          <w:color w:val="000000"/>
          <w:sz w:val="22"/>
        </w:rPr>
        <w:t>1.8.</w:t>
      </w:r>
      <w:hyperlink w:anchor="i928bbdb1582a49208efe7f01535cf16b_22">
        <w:r>
          <w:rPr>
            <w:rStyle w:val="InternetLink"/>
          </w:rPr>
          <w:t>Accounting</w:t>
        </w:r>
      </w:hyperlink>
      <w:hyperlink w:anchor="i928bbdb1582a49208efe7f01535cf16b_22">
        <w:r>
          <w:rPr>
            <w:rStyle w:val="InternetLink"/>
          </w:rPr>
          <w:t>    </w:t>
        </w:r>
      </w:hyperlink>
      <w:hyperlink w:anchor="i928bbdb1582a49208efe7f01535cf16b_22">
        <w:r>
          <w:rPr>
            <w:rStyle w:val="InternetLink"/>
          </w:rPr>
          <w:t>66</w:t>
        </w:r>
      </w:hyperlink>
    </w:p>
    <w:p>
      <w:pPr>
        <w:pStyle w:val="TextBody"/>
        <w:bidi w:val="0"/>
        <w:spacing w:lineRule="atLeast" w:line="252" w:before="2" w:after="283"/>
        <w:ind w:left="0" w:right="0" w:hanging="720"/>
        <w:jc w:val="left"/>
        <w:rPr/>
      </w:pPr>
      <w:r>
        <w:rPr>
          <w:rFonts w:ascii="Times New Roman;serif" w:hAnsi="Times New Roman;serif"/>
          <w:b w:val="false"/>
          <w:color w:val="000000"/>
          <w:sz w:val="22"/>
        </w:rPr>
        <w:t>1.9.</w:t>
      </w:r>
      <w:hyperlink w:anchor="i928bbdb1582a49208efe7f01535cf16b_22">
        <w:r>
          <w:rPr>
            <w:rStyle w:val="InternetLink"/>
          </w:rPr>
          <w:t>Severability of Provisions</w:t>
        </w:r>
      </w:hyperlink>
      <w:hyperlink w:anchor="i928bbdb1582a49208efe7f01535cf16b_22">
        <w:r>
          <w:rPr>
            <w:rStyle w:val="InternetLink"/>
          </w:rPr>
          <w:t>    </w:t>
        </w:r>
      </w:hyperlink>
      <w:hyperlink w:anchor="i928bbdb1582a49208efe7f01535cf16b_22">
        <w:r>
          <w:rPr>
            <w:rStyle w:val="InternetLink"/>
          </w:rPr>
          <w:t>67</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1.10.</w:t>
      </w:r>
      <w:hyperlink w:anchor="i928bbdb1582a49208efe7f01535cf16b_22">
        <w:r>
          <w:rPr>
            <w:rStyle w:val="InternetLink"/>
          </w:rPr>
          <w:t>Nonliability of Lenders</w:t>
        </w:r>
      </w:hyperlink>
      <w:hyperlink w:anchor="i928bbdb1582a49208efe7f01535cf16b_22">
        <w:r>
          <w:rPr>
            <w:rStyle w:val="InternetLink"/>
          </w:rPr>
          <w:t>    </w:t>
        </w:r>
      </w:hyperlink>
      <w:hyperlink w:anchor="i928bbdb1582a49208efe7f01535cf16b_22">
        <w:r>
          <w:rPr>
            <w:rStyle w:val="InternetLink"/>
          </w:rPr>
          <w:t>67</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1.11.</w:t>
      </w:r>
      <w:hyperlink w:anchor="i928bbdb1582a49208efe7f01535cf16b_22">
        <w:r>
          <w:rPr>
            <w:rStyle w:val="InternetLink"/>
          </w:rPr>
          <w:t>Confidentiality</w:t>
        </w:r>
      </w:hyperlink>
      <w:hyperlink w:anchor="i928bbdb1582a49208efe7f01535cf16b_22">
        <w:r>
          <w:rPr>
            <w:rStyle w:val="InternetLink"/>
          </w:rPr>
          <w:t>    </w:t>
        </w:r>
      </w:hyperlink>
      <w:hyperlink w:anchor="i928bbdb1582a49208efe7f01535cf16b_22">
        <w:r>
          <w:rPr>
            <w:rStyle w:val="InternetLink"/>
          </w:rPr>
          <w:t>67</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1.12.</w:t>
      </w:r>
      <w:hyperlink w:anchor="i928bbdb1582a49208efe7f01535cf16b_22">
        <w:r>
          <w:rPr>
            <w:rStyle w:val="InternetLink"/>
          </w:rPr>
          <w:t>Non-reliance</w:t>
        </w:r>
      </w:hyperlink>
      <w:hyperlink w:anchor="i928bbdb1582a49208efe7f01535cf16b_22">
        <w:r>
          <w:rPr>
            <w:rStyle w:val="InternetLink"/>
          </w:rPr>
          <w:t>    </w:t>
        </w:r>
      </w:hyperlink>
      <w:hyperlink w:anchor="i928bbdb1582a49208efe7f01535cf16b_22">
        <w:r>
          <w:rPr>
            <w:rStyle w:val="InternetLink"/>
          </w:rPr>
          <w:t>68</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1.13.</w:t>
      </w:r>
      <w:hyperlink w:anchor="i928bbdb1582a49208efe7f01535cf16b_22">
        <w:r>
          <w:rPr>
            <w:rStyle w:val="InternetLink"/>
          </w:rPr>
          <w:t>Disclosure</w:t>
        </w:r>
      </w:hyperlink>
      <w:hyperlink w:anchor="i928bbdb1582a49208efe7f01535cf16b_22">
        <w:r>
          <w:rPr>
            <w:rStyle w:val="InternetLink"/>
          </w:rPr>
          <w:t>    </w:t>
        </w:r>
      </w:hyperlink>
      <w:hyperlink w:anchor="i928bbdb1582a49208efe7f01535cf16b_22">
        <w:r>
          <w:rPr>
            <w:rStyle w:val="InternetLink"/>
          </w:rPr>
          <w:t>68</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1.14.</w:t>
      </w:r>
      <w:hyperlink w:anchor="i928bbdb1582a49208efe7f01535cf16b_22">
        <w:r>
          <w:rPr>
            <w:rStyle w:val="InternetLink"/>
          </w:rPr>
          <w:t>USA PATRIOT ACT NOTIFICATION</w:t>
        </w:r>
      </w:hyperlink>
      <w:hyperlink w:anchor="i928bbdb1582a49208efe7f01535cf16b_22">
        <w:r>
          <w:rPr>
            <w:rStyle w:val="InternetLink"/>
          </w:rPr>
          <w:t>    </w:t>
        </w:r>
      </w:hyperlink>
      <w:hyperlink w:anchor="i928bbdb1582a49208efe7f01535cf16b_22">
        <w:r>
          <w:rPr>
            <w:rStyle w:val="InternetLink"/>
          </w:rPr>
          <w:t>68</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1.15.</w:t>
      </w:r>
      <w:hyperlink w:anchor="i928bbdb1582a49208efe7f01535cf16b_22">
        <w:r>
          <w:rPr>
            <w:rStyle w:val="InternetLink"/>
          </w:rPr>
          <w:t>Acknowledgement and Consent to Bail-In of EEA Financial Institutions</w:t>
        </w:r>
      </w:hyperlink>
      <w:hyperlink w:anchor="i928bbdb1582a49208efe7f01535cf16b_22">
        <w:r>
          <w:rPr>
            <w:rStyle w:val="InternetLink"/>
          </w:rPr>
          <w:t>    </w:t>
        </w:r>
      </w:hyperlink>
      <w:hyperlink w:anchor="i928bbdb1582a49208efe7f01535cf16b_22">
        <w:r>
          <w:rPr>
            <w:rStyle w:val="InternetLink"/>
          </w:rPr>
          <w:t>68</w:t>
        </w:r>
      </w:hyperlink>
    </w:p>
    <w:p>
      <w:pPr>
        <w:pStyle w:val="TextBody"/>
        <w:bidi w:val="0"/>
        <w:spacing w:lineRule="auto" w:line="288" w:before="244" w:after="283"/>
        <w:jc w:val="left"/>
        <w:rPr/>
      </w:pPr>
      <w:hyperlink w:anchor="i928bbdb1582a49208efe7f01535cf16b_22">
        <w:r>
          <w:rPr>
            <w:rStyle w:val="InternetLink"/>
          </w:rPr>
          <w:t>ARTICLE X THE ADMINISTRATIVE AGENT</w:t>
        </w:r>
      </w:hyperlink>
      <w:hyperlink w:anchor="i928bbdb1582a49208efe7f01535cf16b_22">
        <w:r>
          <w:rPr>
            <w:rStyle w:val="InternetLink"/>
          </w:rPr>
          <w:t>    </w:t>
        </w:r>
      </w:hyperlink>
      <w:hyperlink w:anchor="i928bbdb1582a49208efe7f01535cf16b_22">
        <w:r>
          <w:rPr>
            <w:rStyle w:val="InternetLink"/>
          </w:rPr>
          <w:t>69</w:t>
        </w:r>
      </w:hyperlink>
    </w:p>
    <w:p>
      <w:pPr>
        <w:pStyle w:val="TextBody"/>
        <w:bidi w:val="0"/>
        <w:spacing w:lineRule="atLeast" w:line="252" w:before="237" w:after="283"/>
        <w:ind w:left="0" w:right="0" w:hanging="720"/>
        <w:jc w:val="left"/>
        <w:rPr/>
      </w:pPr>
      <w:r>
        <w:rPr>
          <w:rFonts w:ascii="Times New Roman;serif" w:hAnsi="Times New Roman;serif"/>
          <w:b w:val="false"/>
          <w:color w:val="000000"/>
          <w:sz w:val="22"/>
        </w:rPr>
        <w:t>1.1.</w:t>
      </w:r>
      <w:hyperlink w:anchor="i928bbdb1582a49208efe7f01535cf16b_22">
        <w:r>
          <w:rPr>
            <w:rStyle w:val="InternetLink"/>
          </w:rPr>
          <w:t>Appointment; Nature of Relationship</w:t>
        </w:r>
      </w:hyperlink>
      <w:hyperlink w:anchor="i928bbdb1582a49208efe7f01535cf16b_22">
        <w:r>
          <w:rPr>
            <w:rStyle w:val="InternetLink"/>
          </w:rPr>
          <w:t>    </w:t>
        </w:r>
      </w:hyperlink>
      <w:hyperlink w:anchor="i928bbdb1582a49208efe7f01535cf16b_22">
        <w:r>
          <w:rPr>
            <w:rStyle w:val="InternetLink"/>
          </w:rPr>
          <w:t>69</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w:t>
      </w:r>
      <w:hyperlink w:anchor="i928bbdb1582a49208efe7f01535cf16b_22">
        <w:r>
          <w:rPr>
            <w:rStyle w:val="InternetLink"/>
          </w:rPr>
          <w:t>Powers</w:t>
        </w:r>
      </w:hyperlink>
      <w:hyperlink w:anchor="i928bbdb1582a49208efe7f01535cf16b_22">
        <w:r>
          <w:rPr>
            <w:rStyle w:val="InternetLink"/>
          </w:rPr>
          <w:t>    </w:t>
        </w:r>
      </w:hyperlink>
      <w:hyperlink w:anchor="i928bbdb1582a49208efe7f01535cf16b_22">
        <w:r>
          <w:rPr>
            <w:rStyle w:val="InternetLink"/>
          </w:rPr>
          <w:t>69</w:t>
        </w:r>
      </w:hyperlink>
    </w:p>
    <w:p>
      <w:pPr>
        <w:pStyle w:val="TextBody"/>
        <w:bidi w:val="0"/>
        <w:spacing w:lineRule="atLeast" w:line="253" w:before="1" w:after="283"/>
        <w:ind w:left="0" w:right="0" w:hanging="720"/>
        <w:jc w:val="left"/>
        <w:rPr/>
      </w:pPr>
      <w:r>
        <w:rPr>
          <w:rFonts w:ascii="Times New Roman;serif" w:hAnsi="Times New Roman;serif"/>
          <w:b w:val="false"/>
          <w:color w:val="000000"/>
          <w:sz w:val="22"/>
        </w:rPr>
        <w:t>1.3.</w:t>
      </w:r>
      <w:hyperlink w:anchor="i928bbdb1582a49208efe7f01535cf16b_22">
        <w:r>
          <w:rPr>
            <w:rStyle w:val="InternetLink"/>
          </w:rPr>
          <w:t>General Immunity</w:t>
        </w:r>
      </w:hyperlink>
      <w:hyperlink w:anchor="i928bbdb1582a49208efe7f01535cf16b_22">
        <w:r>
          <w:rPr>
            <w:rStyle w:val="InternetLink"/>
          </w:rPr>
          <w:t>    </w:t>
        </w:r>
      </w:hyperlink>
      <w:hyperlink w:anchor="i928bbdb1582a49208efe7f01535cf16b_22">
        <w:r>
          <w:rPr>
            <w:rStyle w:val="InternetLink"/>
          </w:rPr>
          <w:t>69</w:t>
        </w:r>
      </w:hyperlink>
    </w:p>
    <w:p>
      <w:pPr>
        <w:pStyle w:val="TextBody"/>
        <w:bidi w:val="0"/>
        <w:spacing w:lineRule="auto" w:line="288" w:before="0" w:after="0"/>
        <w:ind w:left="0" w:right="0" w:hanging="720"/>
        <w:jc w:val="left"/>
        <w:rPr/>
      </w:pPr>
      <w:r>
        <w:rPr>
          <w:rFonts w:ascii="Times New Roman;serif" w:hAnsi="Times New Roman;serif"/>
          <w:b w:val="false"/>
          <w:color w:val="000000"/>
          <w:sz w:val="22"/>
        </w:rPr>
        <w:t>1.4.</w:t>
      </w:r>
      <w:hyperlink w:anchor="i928bbdb1582a49208efe7f01535cf16b_22">
        <w:r>
          <w:rPr>
            <w:rStyle w:val="InternetLink"/>
          </w:rPr>
          <w:t>No Responsibility for Loans, Recitals, etc.</w:t>
        </w:r>
      </w:hyperlink>
      <w:hyperlink w:anchor="i928bbdb1582a49208efe7f01535cf16b_22">
        <w:r>
          <w:rPr>
            <w:rStyle w:val="InternetLink"/>
          </w:rPr>
          <w:t>    </w:t>
        </w:r>
      </w:hyperlink>
      <w:hyperlink w:anchor="i928bbdb1582a49208efe7f01535cf16b_22">
        <w:r>
          <w:rPr>
            <w:rStyle w:val="InternetLink"/>
          </w:rPr>
          <w:t>69</w:t>
        </w:r>
      </w:hyperlink>
    </w:p>
    <w:p>
      <w:pPr>
        <w:pStyle w:val="TextBody"/>
        <w:bidi w:val="0"/>
        <w:spacing w:lineRule="atLeast" w:line="252" w:before="2" w:after="283"/>
        <w:ind w:left="0" w:right="0" w:hanging="720"/>
        <w:jc w:val="left"/>
        <w:rPr/>
      </w:pPr>
      <w:r>
        <w:rPr>
          <w:rFonts w:ascii="Times New Roman;serif" w:hAnsi="Times New Roman;serif"/>
          <w:b w:val="false"/>
          <w:color w:val="000000"/>
          <w:sz w:val="22"/>
        </w:rPr>
        <w:t>1.5.</w:t>
      </w:r>
      <w:hyperlink w:anchor="i928bbdb1582a49208efe7f01535cf16b_22">
        <w:r>
          <w:rPr>
            <w:rStyle w:val="InternetLink"/>
          </w:rPr>
          <w:t>Action on Instructions of Lenders</w:t>
        </w:r>
      </w:hyperlink>
      <w:hyperlink w:anchor="i928bbdb1582a49208efe7f01535cf16b_22">
        <w:r>
          <w:rPr>
            <w:rStyle w:val="InternetLink"/>
          </w:rPr>
          <w:t>    </w:t>
        </w:r>
      </w:hyperlink>
      <w:hyperlink w:anchor="i928bbdb1582a49208efe7f01535cf16b_22">
        <w:r>
          <w:rPr>
            <w:rStyle w:val="InternetLink"/>
          </w:rPr>
          <w:t>70</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1.6.</w:t>
      </w:r>
      <w:hyperlink w:anchor="i928bbdb1582a49208efe7f01535cf16b_22">
        <w:r>
          <w:rPr>
            <w:rStyle w:val="InternetLink"/>
          </w:rPr>
          <w:t>Employment of Administrative Agents and Counsel</w:t>
        </w:r>
      </w:hyperlink>
      <w:hyperlink w:anchor="i928bbdb1582a49208efe7f01535cf16b_22">
        <w:r>
          <w:rPr>
            <w:rStyle w:val="InternetLink"/>
          </w:rPr>
          <w:t>    </w:t>
        </w:r>
      </w:hyperlink>
      <w:hyperlink w:anchor="i928bbdb1582a49208efe7f01535cf16b_22">
        <w:r>
          <w:rPr>
            <w:rStyle w:val="InternetLink"/>
          </w:rPr>
          <w:t>70</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1.7.</w:t>
      </w:r>
      <w:hyperlink w:anchor="i928bbdb1582a49208efe7f01535cf16b_22">
        <w:r>
          <w:rPr>
            <w:rStyle w:val="InternetLink"/>
          </w:rPr>
          <w:t>Reliance on Documents; Counsel</w:t>
        </w:r>
      </w:hyperlink>
      <w:hyperlink w:anchor="i928bbdb1582a49208efe7f01535cf16b_22">
        <w:r>
          <w:rPr>
            <w:rStyle w:val="InternetLink"/>
          </w:rPr>
          <w:t>    </w:t>
        </w:r>
      </w:hyperlink>
      <w:hyperlink w:anchor="i928bbdb1582a49208efe7f01535cf16b_22">
        <w:r>
          <w:rPr>
            <w:rStyle w:val="InternetLink"/>
          </w:rPr>
          <w:t>70</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1.8.</w:t>
      </w:r>
      <w:hyperlink w:anchor="i928bbdb1582a49208efe7f01535cf16b_22">
        <w:r>
          <w:rPr>
            <w:rStyle w:val="InternetLink"/>
          </w:rPr>
          <w:t>Administrative Agent’s Reimbursement and Indemnification</w:t>
        </w:r>
      </w:hyperlink>
      <w:hyperlink w:anchor="i928bbdb1582a49208efe7f01535cf16b_22">
        <w:r>
          <w:rPr>
            <w:rStyle w:val="InternetLink"/>
          </w:rPr>
          <w:t>    </w:t>
        </w:r>
      </w:hyperlink>
      <w:hyperlink w:anchor="i928bbdb1582a49208efe7f01535cf16b_22">
        <w:r>
          <w:rPr>
            <w:rStyle w:val="InternetLink"/>
          </w:rPr>
          <w:t>70</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1.9.</w:t>
      </w:r>
      <w:hyperlink w:anchor="i928bbdb1582a49208efe7f01535cf16b_22">
        <w:r>
          <w:rPr>
            <w:rStyle w:val="InternetLink"/>
          </w:rPr>
          <w:t>Notice of Event of Default</w:t>
        </w:r>
      </w:hyperlink>
      <w:hyperlink w:anchor="i928bbdb1582a49208efe7f01535cf16b_22">
        <w:r>
          <w:rPr>
            <w:rStyle w:val="InternetLink"/>
          </w:rPr>
          <w:t>    </w:t>
        </w:r>
      </w:hyperlink>
      <w:hyperlink w:anchor="i928bbdb1582a49208efe7f01535cf16b_22">
        <w:r>
          <w:rPr>
            <w:rStyle w:val="InternetLink"/>
          </w:rPr>
          <w:t>71</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1.10.</w:t>
      </w:r>
      <w:hyperlink w:anchor="i928bbdb1582a49208efe7f01535cf16b_22">
        <w:r>
          <w:rPr>
            <w:rStyle w:val="InternetLink"/>
          </w:rPr>
          <w:t>Rights as a Lender</w:t>
        </w:r>
      </w:hyperlink>
      <w:hyperlink w:anchor="i928bbdb1582a49208efe7f01535cf16b_22">
        <w:r>
          <w:rPr>
            <w:rStyle w:val="InternetLink"/>
          </w:rPr>
          <w:t>    </w:t>
        </w:r>
      </w:hyperlink>
      <w:hyperlink w:anchor="i928bbdb1582a49208efe7f01535cf16b_22">
        <w:r>
          <w:rPr>
            <w:rStyle w:val="InternetLink"/>
          </w:rPr>
          <w:t>71</w:t>
        </w:r>
      </w:hyperlink>
    </w:p>
    <w:p>
      <w:pPr>
        <w:pStyle w:val="TextBody"/>
        <w:bidi w:val="0"/>
        <w:spacing w:lineRule="atLeast" w:line="252"/>
        <w:ind w:left="0" w:right="0" w:hanging="720"/>
        <w:jc w:val="left"/>
        <w:rPr/>
      </w:pPr>
      <w:r>
        <w:rPr>
          <w:rFonts w:ascii="Times New Roman;serif" w:hAnsi="Times New Roman;serif"/>
          <w:b w:val="false"/>
          <w:color w:val="000000"/>
          <w:sz w:val="22"/>
        </w:rPr>
        <w:t>1.11.</w:t>
      </w:r>
      <w:hyperlink w:anchor="i928bbdb1582a49208efe7f01535cf16b_22">
        <w:r>
          <w:rPr>
            <w:rStyle w:val="InternetLink"/>
          </w:rPr>
          <w:t>Lender Credit Decision, Legal Representation</w:t>
        </w:r>
      </w:hyperlink>
      <w:hyperlink w:anchor="i928bbdb1582a49208efe7f01535cf16b_22">
        <w:r>
          <w:rPr>
            <w:rStyle w:val="InternetLink"/>
          </w:rPr>
          <w:t>    </w:t>
        </w:r>
      </w:hyperlink>
      <w:hyperlink w:anchor="i928bbdb1582a49208efe7f01535cf16b_22">
        <w:r>
          <w:rPr>
            <w:rStyle w:val="InternetLink"/>
          </w:rPr>
          <w:t>71</w:t>
        </w:r>
      </w:hyperlink>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 w:after="58"/>
        <w:ind w:left="0" w:right="0" w:hanging="720"/>
        <w:jc w:val="left"/>
        <w:rPr/>
      </w:pPr>
      <w:r>
        <w:rPr>
          <w:rFonts w:ascii="Times New Roman;serif" w:hAnsi="Times New Roman;serif"/>
          <w:b w:val="false"/>
          <w:color w:val="000000"/>
          <w:sz w:val="22"/>
        </w:rPr>
        <w:t>1.12.</w:t>
      </w:r>
      <w:hyperlink w:anchor="i928bbdb1582a49208efe7f01535cf16b_22">
        <w:r>
          <w:rPr>
            <w:rStyle w:val="InternetLink"/>
          </w:rPr>
          <w:t>Successor Administrative Agent</w:t>
        </w:r>
      </w:hyperlink>
      <w:hyperlink w:anchor="i928bbdb1582a49208efe7f01535cf16b_22">
        <w:r>
          <w:rPr>
            <w:rStyle w:val="InternetLink"/>
          </w:rPr>
          <w:t>    </w:t>
        </w:r>
      </w:hyperlink>
      <w:hyperlink w:anchor="i928bbdb1582a49208efe7f01535cf16b_22">
        <w:r>
          <w:rPr>
            <w:rStyle w:val="InternetLink"/>
          </w:rPr>
          <w:t>72</w:t>
        </w:r>
      </w:hyperlink>
    </w:p>
    <w:p>
      <w:pPr>
        <w:pStyle w:val="TextBody"/>
        <w:bidi w:val="0"/>
        <w:spacing w:lineRule="atLeast" w:line="252" w:before="79" w:after="283"/>
        <w:ind w:left="0" w:right="0" w:hanging="720"/>
        <w:jc w:val="left"/>
        <w:rPr/>
      </w:pPr>
      <w:r>
        <w:rPr>
          <w:rFonts w:ascii="Times New Roman;serif" w:hAnsi="Times New Roman;serif"/>
          <w:b w:val="false"/>
          <w:color w:val="000000"/>
          <w:sz w:val="22"/>
        </w:rPr>
        <w:t>1.13.</w:t>
      </w:r>
      <w:hyperlink w:anchor="i928bbdb1582a49208efe7f01535cf16b_22">
        <w:r>
          <w:rPr>
            <w:rStyle w:val="InternetLink"/>
          </w:rPr>
          <w:t>[Reserved]</w:t>
        </w:r>
      </w:hyperlink>
      <w:hyperlink w:anchor="i928bbdb1582a49208efe7f01535cf16b_22">
        <w:r>
          <w:rPr>
            <w:rStyle w:val="InternetLink"/>
          </w:rPr>
          <w:t>    </w:t>
        </w:r>
      </w:hyperlink>
      <w:hyperlink w:anchor="i928bbdb1582a49208efe7f01535cf16b_22">
        <w:r>
          <w:rPr>
            <w:rStyle w:val="InternetLink"/>
          </w:rPr>
          <w:t>72</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1.14.</w:t>
      </w:r>
      <w:hyperlink w:anchor="i928bbdb1582a49208efe7f01535cf16b_22">
        <w:r>
          <w:rPr>
            <w:rStyle w:val="InternetLink"/>
          </w:rPr>
          <w:t>Delegation to Affiliates</w:t>
        </w:r>
      </w:hyperlink>
      <w:hyperlink w:anchor="i928bbdb1582a49208efe7f01535cf16b_22">
        <w:r>
          <w:rPr>
            <w:rStyle w:val="InternetLink"/>
          </w:rPr>
          <w:t>    </w:t>
        </w:r>
      </w:hyperlink>
      <w:hyperlink w:anchor="i928bbdb1582a49208efe7f01535cf16b_22">
        <w:r>
          <w:rPr>
            <w:rStyle w:val="InternetLink"/>
          </w:rPr>
          <w:t>72</w:t>
        </w:r>
      </w:hyperlink>
    </w:p>
    <w:p>
      <w:pPr>
        <w:pStyle w:val="TextBody"/>
        <w:bidi w:val="0"/>
        <w:spacing w:lineRule="atLeast" w:line="252" w:before="1" w:after="283"/>
        <w:ind w:left="0" w:right="0" w:hanging="720"/>
        <w:jc w:val="left"/>
        <w:rPr/>
      </w:pPr>
      <w:r>
        <w:rPr>
          <w:rFonts w:ascii="Times New Roman;serif" w:hAnsi="Times New Roman;serif"/>
          <w:b w:val="false"/>
          <w:color w:val="000000"/>
          <w:sz w:val="22"/>
        </w:rPr>
        <w:t>1.15.</w:t>
      </w:r>
      <w:hyperlink w:anchor="i928bbdb1582a49208efe7f01535cf16b_22">
        <w:r>
          <w:rPr>
            <w:rStyle w:val="InternetLink"/>
          </w:rPr>
          <w:t>Execution of Collateral Documents</w:t>
        </w:r>
      </w:hyperlink>
      <w:hyperlink w:anchor="i928bbdb1582a49208efe7f01535cf16b_22">
        <w:r>
          <w:rPr>
            <w:rStyle w:val="InternetLink"/>
          </w:rPr>
          <w:t>    </w:t>
        </w:r>
      </w:hyperlink>
      <w:hyperlink w:anchor="i928bbdb1582a49208efe7f01535cf16b_22">
        <w:r>
          <w:rPr>
            <w:rStyle w:val="InternetLink"/>
          </w:rPr>
          <w:t>72</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1.16.</w:t>
      </w:r>
      <w:hyperlink w:anchor="i928bbdb1582a49208efe7f01535cf16b_22">
        <w:r>
          <w:rPr>
            <w:rStyle w:val="InternetLink"/>
          </w:rPr>
          <w:t>Collateral Releases and Subordination</w:t>
        </w:r>
      </w:hyperlink>
      <w:hyperlink w:anchor="i928bbdb1582a49208efe7f01535cf16b_22">
        <w:r>
          <w:rPr>
            <w:rStyle w:val="InternetLink"/>
          </w:rPr>
          <w:t>    </w:t>
        </w:r>
      </w:hyperlink>
      <w:hyperlink w:anchor="i928bbdb1582a49208efe7f01535cf16b_22">
        <w:r>
          <w:rPr>
            <w:rStyle w:val="InternetLink"/>
          </w:rPr>
          <w:t>72</w:t>
        </w:r>
      </w:hyperlink>
    </w:p>
    <w:p>
      <w:pPr>
        <w:pStyle w:val="TextBody"/>
        <w:bidi w:val="0"/>
        <w:spacing w:lineRule="auto" w:line="288" w:before="2" w:after="283"/>
        <w:ind w:left="0" w:right="0" w:hanging="720"/>
        <w:jc w:val="left"/>
        <w:rPr/>
      </w:pPr>
      <w:r>
        <w:rPr>
          <w:rFonts w:ascii="Times New Roman;serif" w:hAnsi="Times New Roman;serif"/>
          <w:b w:val="false"/>
          <w:color w:val="000000"/>
          <w:sz w:val="22"/>
        </w:rPr>
        <w:t>1.17.</w:t>
      </w:r>
      <w:hyperlink w:anchor="i928bbdb1582a49208efe7f01535cf16b_22">
        <w:r>
          <w:rPr>
            <w:rStyle w:val="InternetLink"/>
          </w:rPr>
          <w:t>No Advisory or Fiduciary Responsibility</w:t>
        </w:r>
      </w:hyperlink>
      <w:hyperlink w:anchor="i928bbdb1582a49208efe7f01535cf16b_22">
        <w:r>
          <w:rPr>
            <w:rStyle w:val="InternetLink"/>
          </w:rPr>
          <w:t>    </w:t>
        </w:r>
      </w:hyperlink>
      <w:hyperlink w:anchor="i928bbdb1582a49208efe7f01535cf16b_22">
        <w:r>
          <w:rPr>
            <w:rStyle w:val="InternetLink"/>
          </w:rPr>
          <w:t>73</w:t>
        </w:r>
      </w:hyperlink>
    </w:p>
    <w:p>
      <w:pPr>
        <w:pStyle w:val="TextBody"/>
        <w:bidi w:val="0"/>
        <w:spacing w:lineRule="auto" w:line="288" w:before="241" w:after="283"/>
        <w:jc w:val="left"/>
        <w:rPr/>
      </w:pPr>
      <w:hyperlink w:anchor="i928bbdb1582a49208efe7f01535cf16b_22">
        <w:r>
          <w:rPr>
            <w:rStyle w:val="InternetLink"/>
          </w:rPr>
          <w:t>ARTICLE XI SETOFF; RATABLE PAYMENTS</w:t>
        </w:r>
      </w:hyperlink>
      <w:hyperlink w:anchor="i928bbdb1582a49208efe7f01535cf16b_22">
        <w:r>
          <w:rPr>
            <w:rStyle w:val="InternetLink"/>
          </w:rPr>
          <w:t>    </w:t>
        </w:r>
      </w:hyperlink>
      <w:hyperlink w:anchor="i928bbdb1582a49208efe7f01535cf16b_22">
        <w:r>
          <w:rPr>
            <w:rStyle w:val="InternetLink"/>
          </w:rPr>
          <w:t>73</w:t>
        </w:r>
      </w:hyperlink>
    </w:p>
    <w:p>
      <w:pPr>
        <w:pStyle w:val="TextBody"/>
        <w:bidi w:val="0"/>
        <w:spacing w:lineRule="auto" w:line="288" w:before="237" w:after="283"/>
        <w:ind w:left="0" w:right="0" w:hanging="720"/>
        <w:jc w:val="left"/>
        <w:rPr/>
      </w:pPr>
      <w:r>
        <w:rPr>
          <w:rFonts w:ascii="Times New Roman;serif" w:hAnsi="Times New Roman;serif"/>
          <w:b w:val="false"/>
          <w:color w:val="000000"/>
          <w:sz w:val="22"/>
        </w:rPr>
        <w:t>1.1.</w:t>
      </w:r>
      <w:hyperlink w:anchor="i928bbdb1582a49208efe7f01535cf16b_22">
        <w:r>
          <w:rPr>
            <w:rStyle w:val="InternetLink"/>
          </w:rPr>
          <w:t>Setoff</w:t>
        </w:r>
      </w:hyperlink>
      <w:hyperlink w:anchor="i928bbdb1582a49208efe7f01535cf16b_22">
        <w:r>
          <w:rPr>
            <w:rStyle w:val="InternetLink"/>
          </w:rPr>
          <w:t>    </w:t>
        </w:r>
      </w:hyperlink>
      <w:hyperlink w:anchor="i928bbdb1582a49208efe7f01535cf16b_22">
        <w:r>
          <w:rPr>
            <w:rStyle w:val="InternetLink"/>
          </w:rPr>
          <w:t>73</w:t>
        </w:r>
      </w:hyperlink>
    </w:p>
    <w:p>
      <w:pPr>
        <w:pStyle w:val="TextBody"/>
        <w:bidi w:val="0"/>
        <w:spacing w:lineRule="auto" w:line="288" w:before="1" w:after="283"/>
        <w:ind w:left="0" w:right="0" w:hanging="720"/>
        <w:jc w:val="left"/>
        <w:rPr/>
      </w:pPr>
      <w:r>
        <w:rPr>
          <w:rFonts w:ascii="Times New Roman;serif" w:hAnsi="Times New Roman;serif"/>
          <w:b w:val="false"/>
          <w:color w:val="000000"/>
          <w:sz w:val="22"/>
        </w:rPr>
        <w:t>1.2.</w:t>
      </w:r>
      <w:hyperlink w:anchor="i928bbdb1582a49208efe7f01535cf16b_22">
        <w:r>
          <w:rPr>
            <w:rStyle w:val="InternetLink"/>
          </w:rPr>
          <w:t>Ratable Payments</w:t>
        </w:r>
      </w:hyperlink>
      <w:hyperlink w:anchor="i928bbdb1582a49208efe7f01535cf16b_22">
        <w:r>
          <w:rPr>
            <w:rStyle w:val="InternetLink"/>
          </w:rPr>
          <w:t>    </w:t>
        </w:r>
      </w:hyperlink>
      <w:hyperlink w:anchor="i928bbdb1582a49208efe7f01535cf16b_22">
        <w:r>
          <w:rPr>
            <w:rStyle w:val="InternetLink"/>
          </w:rPr>
          <w:t>74</w:t>
        </w:r>
      </w:hyperlink>
    </w:p>
    <w:p>
      <w:pPr>
        <w:pStyle w:val="TextBody"/>
        <w:bidi w:val="0"/>
        <w:spacing w:lineRule="auto" w:line="288" w:before="241" w:after="283"/>
        <w:jc w:val="left"/>
        <w:rPr/>
      </w:pPr>
      <w:hyperlink w:anchor="i928bbdb1582a49208efe7f01535cf16b_22">
        <w:r>
          <w:rPr>
            <w:rStyle w:val="InternetLink"/>
          </w:rPr>
          <w:t>ARTICLE XII BENEFIT OF AGREEMENT; ASSIGNMENTS; PARTICIPATIONS</w:t>
        </w:r>
      </w:hyperlink>
      <w:hyperlink w:anchor="i928bbdb1582a49208efe7f01535cf16b_22">
        <w:r>
          <w:rPr>
            <w:rStyle w:val="InternetLink"/>
          </w:rPr>
          <w:t>    </w:t>
        </w:r>
      </w:hyperlink>
      <w:hyperlink w:anchor="i928bbdb1582a49208efe7f01535cf16b_22">
        <w:r>
          <w:rPr>
            <w:rStyle w:val="InternetLink"/>
          </w:rPr>
          <w:t>74</w:t>
        </w:r>
      </w:hyperlink>
    </w:p>
    <w:p>
      <w:pPr>
        <w:pStyle w:val="TextBody"/>
        <w:bidi w:val="0"/>
        <w:spacing w:lineRule="atLeast" w:line="253" w:before="239" w:after="283"/>
        <w:ind w:left="0" w:right="0" w:hanging="720"/>
        <w:jc w:val="left"/>
        <w:rPr/>
      </w:pPr>
      <w:r>
        <w:rPr>
          <w:rFonts w:ascii="Times New Roman;serif" w:hAnsi="Times New Roman;serif"/>
          <w:b w:val="false"/>
          <w:color w:val="000000"/>
          <w:sz w:val="22"/>
        </w:rPr>
        <w:t>1.1.</w:t>
      </w:r>
      <w:hyperlink w:anchor="i928bbdb1582a49208efe7f01535cf16b_22">
        <w:r>
          <w:rPr>
            <w:rStyle w:val="InternetLink"/>
          </w:rPr>
          <w:t>Successors and Assigns</w:t>
        </w:r>
      </w:hyperlink>
      <w:hyperlink w:anchor="i928bbdb1582a49208efe7f01535cf16b_22">
        <w:r>
          <w:rPr>
            <w:rStyle w:val="InternetLink"/>
          </w:rPr>
          <w:t>    </w:t>
        </w:r>
      </w:hyperlink>
      <w:hyperlink w:anchor="i928bbdb1582a49208efe7f01535cf16b_22">
        <w:r>
          <w:rPr>
            <w:rStyle w:val="InternetLink"/>
          </w:rPr>
          <w:t>74</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w:t>
      </w:r>
      <w:hyperlink w:anchor="i928bbdb1582a49208efe7f01535cf16b_22">
        <w:r>
          <w:rPr>
            <w:rStyle w:val="InternetLink"/>
          </w:rPr>
          <w:t>Participations</w:t>
        </w:r>
      </w:hyperlink>
      <w:hyperlink w:anchor="i928bbdb1582a49208efe7f01535cf16b_22">
        <w:r>
          <w:rPr>
            <w:rStyle w:val="InternetLink"/>
          </w:rPr>
          <w:t>    </w:t>
        </w:r>
      </w:hyperlink>
      <w:hyperlink w:anchor="i928bbdb1582a49208efe7f01535cf16b_22">
        <w:r>
          <w:rPr>
            <w:rStyle w:val="InternetLink"/>
          </w:rPr>
          <w:t>74</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1.3.</w:t>
      </w:r>
      <w:hyperlink w:anchor="i928bbdb1582a49208efe7f01535cf16b_22">
        <w:r>
          <w:rPr>
            <w:rStyle w:val="InternetLink"/>
          </w:rPr>
          <w:t>Assignments</w:t>
        </w:r>
      </w:hyperlink>
      <w:hyperlink w:anchor="i928bbdb1582a49208efe7f01535cf16b_22">
        <w:r>
          <w:rPr>
            <w:rStyle w:val="InternetLink"/>
          </w:rPr>
          <w:t>    </w:t>
        </w:r>
      </w:hyperlink>
      <w:hyperlink w:anchor="i928bbdb1582a49208efe7f01535cf16b_22">
        <w:r>
          <w:rPr>
            <w:rStyle w:val="InternetLink"/>
          </w:rPr>
          <w:t>76</w:t>
        </w:r>
      </w:hyperlink>
    </w:p>
    <w:p>
      <w:pPr>
        <w:pStyle w:val="TextBody"/>
        <w:bidi w:val="0"/>
        <w:spacing w:lineRule="auto" w:line="288" w:before="244" w:after="283"/>
        <w:jc w:val="left"/>
        <w:rPr/>
      </w:pPr>
      <w:hyperlink w:anchor="i928bbdb1582a49208efe7f01535cf16b_22">
        <w:r>
          <w:rPr>
            <w:rStyle w:val="InternetLink"/>
          </w:rPr>
          <w:t>ARTICLE XIII NOTICES</w:t>
        </w:r>
      </w:hyperlink>
      <w:hyperlink w:anchor="i928bbdb1582a49208efe7f01535cf16b_22">
        <w:r>
          <w:rPr>
            <w:rStyle w:val="InternetLink"/>
          </w:rPr>
          <w:t>    </w:t>
        </w:r>
      </w:hyperlink>
      <w:hyperlink w:anchor="i928bbdb1582a49208efe7f01535cf16b_22">
        <w:r>
          <w:rPr>
            <w:rStyle w:val="InternetLink"/>
          </w:rPr>
          <w:t>77</w:t>
        </w:r>
      </w:hyperlink>
    </w:p>
    <w:p>
      <w:pPr>
        <w:pStyle w:val="TextBody"/>
        <w:bidi w:val="0"/>
        <w:spacing w:lineRule="auto" w:line="288" w:before="237" w:after="283"/>
        <w:ind w:left="0" w:right="0" w:hanging="720"/>
        <w:jc w:val="left"/>
        <w:rPr/>
      </w:pPr>
      <w:r>
        <w:rPr>
          <w:rFonts w:ascii="Times New Roman;serif" w:hAnsi="Times New Roman;serif"/>
          <w:b w:val="false"/>
          <w:color w:val="000000"/>
          <w:sz w:val="22"/>
        </w:rPr>
        <w:t>1.1.</w:t>
      </w:r>
      <w:hyperlink w:anchor="i928bbdb1582a49208efe7f01535cf16b_22">
        <w:r>
          <w:rPr>
            <w:rStyle w:val="InternetLink"/>
          </w:rPr>
          <w:t>Notices; Effectiveness; Electronic Communication</w:t>
        </w:r>
      </w:hyperlink>
      <w:hyperlink w:anchor="i928bbdb1582a49208efe7f01535cf16b_22">
        <w:r>
          <w:rPr>
            <w:rStyle w:val="InternetLink"/>
          </w:rPr>
          <w:t>    </w:t>
        </w:r>
      </w:hyperlink>
      <w:hyperlink w:anchor="i928bbdb1582a49208efe7f01535cf16b_22">
        <w:r>
          <w:rPr>
            <w:rStyle w:val="InternetLink"/>
          </w:rPr>
          <w:t>77</w:t>
        </w:r>
      </w:hyperlink>
    </w:p>
    <w:p>
      <w:pPr>
        <w:pStyle w:val="TextBody"/>
        <w:bidi w:val="0"/>
        <w:spacing w:lineRule="auto" w:line="288" w:before="241" w:after="283"/>
        <w:ind w:left="0" w:right="0" w:hanging="360"/>
        <w:jc w:val="left"/>
        <w:rPr/>
      </w:pPr>
      <w:hyperlink w:anchor="i928bbdb1582a49208efe7f01535cf16b_22">
        <w:r>
          <w:rPr>
            <w:rStyle w:val="InternetLink"/>
            <w:rFonts w:ascii="Times New Roman;serif" w:hAnsi="Times New Roman;serif"/>
            <w:b/>
            <w:strike w:val="false"/>
            <w:dstrike w:val="false"/>
            <w:color w:val="000000"/>
            <w:sz w:val="22"/>
            <w:u w:val="none"/>
            <w:effect w:val="none"/>
          </w:rPr>
          <w:t>ARTICLE XIV COUNTERPARTS; INTEGRATION; EFFECTIVENESS; ELECTRONIC</w:t>
        </w:r>
      </w:hyperlink>
      <w:r>
        <w:rPr>
          <w:rFonts w:ascii="Times New Roman;serif" w:hAnsi="Times New Roman;serif"/>
          <w:b/>
          <w:color w:val="000000"/>
          <w:sz w:val="22"/>
        </w:rPr>
        <w:t xml:space="preserve"> </w:t>
      </w:r>
      <w:hyperlink w:anchor="i928bbdb1582a49208efe7f01535cf16b_22">
        <w:r>
          <w:rPr>
            <w:rStyle w:val="InternetLink"/>
          </w:rPr>
          <w:t>EXECUTION; ELECTRONIC RECORDS</w:t>
        </w:r>
      </w:hyperlink>
      <w:hyperlink w:anchor="i928bbdb1582a49208efe7f01535cf16b_22">
        <w:r>
          <w:rPr>
            <w:rStyle w:val="InternetLink"/>
          </w:rPr>
          <w:t>    </w:t>
        </w:r>
      </w:hyperlink>
      <w:hyperlink w:anchor="i928bbdb1582a49208efe7f01535cf16b_22">
        <w:r>
          <w:rPr>
            <w:rStyle w:val="InternetLink"/>
          </w:rPr>
          <w:t>78</w:t>
        </w:r>
      </w:hyperlink>
    </w:p>
    <w:p>
      <w:pPr>
        <w:pStyle w:val="TextBody"/>
        <w:bidi w:val="0"/>
        <w:spacing w:lineRule="atLeast" w:line="252" w:before="241" w:after="283"/>
        <w:ind w:left="0" w:right="0" w:hanging="720"/>
        <w:jc w:val="left"/>
        <w:rPr/>
      </w:pPr>
      <w:r>
        <w:rPr>
          <w:rFonts w:ascii="Times New Roman;serif" w:hAnsi="Times New Roman;serif"/>
          <w:b w:val="false"/>
          <w:color w:val="000000"/>
          <w:sz w:val="22"/>
        </w:rPr>
        <w:t>1.1.</w:t>
      </w:r>
      <w:hyperlink w:anchor="i928bbdb1582a49208efe7f01535cf16b_22">
        <w:r>
          <w:rPr>
            <w:rStyle w:val="InternetLink"/>
          </w:rPr>
          <w:t>Counterparts; Effectiveness</w:t>
        </w:r>
      </w:hyperlink>
      <w:hyperlink w:anchor="i928bbdb1582a49208efe7f01535cf16b_22">
        <w:r>
          <w:rPr>
            <w:rStyle w:val="InternetLink"/>
          </w:rPr>
          <w:t>    </w:t>
        </w:r>
      </w:hyperlink>
      <w:hyperlink w:anchor="i928bbdb1582a49208efe7f01535cf16b_22">
        <w:r>
          <w:rPr>
            <w:rStyle w:val="InternetLink"/>
          </w:rPr>
          <w:t>78</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w:t>
      </w:r>
      <w:hyperlink w:anchor="i928bbdb1582a49208efe7f01535cf16b_22">
        <w:r>
          <w:rPr>
            <w:rStyle w:val="InternetLink"/>
          </w:rPr>
          <w:t>Electronic Execution of Assignments</w:t>
        </w:r>
      </w:hyperlink>
      <w:hyperlink w:anchor="i928bbdb1582a49208efe7f01535cf16b_22">
        <w:r>
          <w:rPr>
            <w:rStyle w:val="InternetLink"/>
          </w:rPr>
          <w:t>    </w:t>
        </w:r>
      </w:hyperlink>
      <w:hyperlink w:anchor="i928bbdb1582a49208efe7f01535cf16b_22">
        <w:r>
          <w:rPr>
            <w:rStyle w:val="InternetLink"/>
          </w:rPr>
          <w:t>79</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1.3.</w:t>
      </w:r>
      <w:hyperlink w:anchor="i928bbdb1582a49208efe7f01535cf16b_22">
        <w:r>
          <w:rPr>
            <w:rStyle w:val="InternetLink"/>
          </w:rPr>
          <w:t>Electronic Records</w:t>
        </w:r>
      </w:hyperlink>
      <w:hyperlink w:anchor="i928bbdb1582a49208efe7f01535cf16b_22">
        <w:r>
          <w:rPr>
            <w:rStyle w:val="InternetLink"/>
          </w:rPr>
          <w:t>    </w:t>
        </w:r>
      </w:hyperlink>
      <w:hyperlink w:anchor="i928bbdb1582a49208efe7f01535cf16b_22">
        <w:r>
          <w:rPr>
            <w:rStyle w:val="InternetLink"/>
          </w:rPr>
          <w:t>79</w:t>
        </w:r>
      </w:hyperlink>
    </w:p>
    <w:p>
      <w:pPr>
        <w:pStyle w:val="TextBody"/>
        <w:bidi w:val="0"/>
        <w:spacing w:lineRule="auto" w:line="288" w:before="242" w:after="283"/>
        <w:ind w:left="0" w:right="0" w:hanging="360"/>
        <w:jc w:val="left"/>
        <w:rPr/>
      </w:pPr>
      <w:hyperlink w:anchor="i928bbdb1582a49208efe7f01535cf16b_22">
        <w:r>
          <w:rPr>
            <w:rStyle w:val="InternetLink"/>
            <w:rFonts w:ascii="Times New Roman;serif" w:hAnsi="Times New Roman;serif"/>
            <w:b/>
            <w:strike w:val="false"/>
            <w:dstrike w:val="false"/>
            <w:color w:val="000000"/>
            <w:sz w:val="22"/>
            <w:u w:val="none"/>
            <w:effect w:val="none"/>
          </w:rPr>
          <w:t>ARTICLE XV CHOICE OF LAW; CONSENT TO JURISDICTION; WAIVER OF JURY</w:t>
        </w:r>
      </w:hyperlink>
      <w:r>
        <w:rPr>
          <w:rFonts w:ascii="Times New Roman;serif" w:hAnsi="Times New Roman;serif"/>
          <w:b/>
          <w:color w:val="000000"/>
          <w:sz w:val="22"/>
        </w:rPr>
        <w:t xml:space="preserve"> </w:t>
      </w:r>
      <w:hyperlink w:anchor="i928bbdb1582a49208efe7f01535cf16b_22">
        <w:r>
          <w:rPr>
            <w:rStyle w:val="InternetLink"/>
          </w:rPr>
          <w:t>TRIAL</w:t>
        </w:r>
      </w:hyperlink>
      <w:hyperlink w:anchor="i928bbdb1582a49208efe7f01535cf16b_22">
        <w:r>
          <w:rPr>
            <w:rStyle w:val="InternetLink"/>
          </w:rPr>
          <w:t>    </w:t>
        </w:r>
      </w:hyperlink>
      <w:hyperlink w:anchor="i928bbdb1582a49208efe7f01535cf16b_22">
        <w:r>
          <w:rPr>
            <w:rStyle w:val="InternetLink"/>
          </w:rPr>
          <w:t>79</w:t>
        </w:r>
      </w:hyperlink>
    </w:p>
    <w:p>
      <w:pPr>
        <w:pStyle w:val="TextBody"/>
        <w:bidi w:val="0"/>
        <w:spacing w:lineRule="atLeast" w:line="252" w:before="240" w:after="283"/>
        <w:ind w:left="0" w:right="0" w:hanging="720"/>
        <w:jc w:val="left"/>
        <w:rPr/>
      </w:pPr>
      <w:r>
        <w:rPr>
          <w:rFonts w:ascii="Times New Roman;serif" w:hAnsi="Times New Roman;serif"/>
          <w:b w:val="false"/>
          <w:color w:val="000000"/>
          <w:sz w:val="22"/>
        </w:rPr>
        <w:t>1.1.</w:t>
      </w:r>
      <w:hyperlink w:anchor="i928bbdb1582a49208efe7f01535cf16b_22">
        <w:r>
          <w:rPr>
            <w:rStyle w:val="InternetLink"/>
          </w:rPr>
          <w:t>CHOICE OF LAW</w:t>
        </w:r>
      </w:hyperlink>
      <w:hyperlink w:anchor="i928bbdb1582a49208efe7f01535cf16b_22">
        <w:r>
          <w:rPr>
            <w:rStyle w:val="InternetLink"/>
          </w:rPr>
          <w:t>    </w:t>
        </w:r>
      </w:hyperlink>
      <w:hyperlink w:anchor="i928bbdb1582a49208efe7f01535cf16b_22">
        <w:r>
          <w:rPr>
            <w:rStyle w:val="InternetLink"/>
          </w:rPr>
          <w:t>79</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1.2.</w:t>
      </w:r>
      <w:hyperlink w:anchor="i928bbdb1582a49208efe7f01535cf16b_22">
        <w:r>
          <w:rPr>
            <w:rStyle w:val="InternetLink"/>
          </w:rPr>
          <w:t>CONSENT TO JURISDICTION</w:t>
        </w:r>
      </w:hyperlink>
      <w:hyperlink w:anchor="i928bbdb1582a49208efe7f01535cf16b_22">
        <w:r>
          <w:rPr>
            <w:rStyle w:val="InternetLink"/>
          </w:rPr>
          <w:t>    </w:t>
        </w:r>
      </w:hyperlink>
      <w:hyperlink w:anchor="i928bbdb1582a49208efe7f01535cf16b_22">
        <w:r>
          <w:rPr>
            <w:rStyle w:val="InternetLink"/>
          </w:rPr>
          <w:t>79</w:t>
        </w:r>
      </w:hyperlink>
    </w:p>
    <w:p>
      <w:pPr>
        <w:pStyle w:val="TextBody"/>
        <w:bidi w:val="0"/>
        <w:spacing w:lineRule="atLeast" w:line="252" w:before="0" w:after="0"/>
        <w:ind w:left="0" w:right="0" w:hanging="720"/>
        <w:jc w:val="left"/>
        <w:rPr/>
      </w:pPr>
      <w:r>
        <w:rPr>
          <w:rFonts w:ascii="Times New Roman;serif" w:hAnsi="Times New Roman;serif"/>
          <w:b w:val="false"/>
          <w:color w:val="000000"/>
          <w:sz w:val="22"/>
        </w:rPr>
        <w:t>1.3.</w:t>
      </w:r>
      <w:hyperlink w:anchor="i928bbdb1582a49208efe7f01535cf16b_22">
        <w:r>
          <w:rPr>
            <w:rStyle w:val="InternetLink"/>
          </w:rPr>
          <w:t>WAIVER OF JURY TRIAL</w:t>
        </w:r>
      </w:hyperlink>
      <w:hyperlink w:anchor="i928bbdb1582a49208efe7f01535cf16b_22">
        <w:r>
          <w:rPr>
            <w:rStyle w:val="InternetLink"/>
          </w:rPr>
          <w:t>    </w:t>
        </w:r>
      </w:hyperlink>
      <w:hyperlink w:anchor="i928bbdb1582a49208efe7f01535cf16b_22">
        <w:r>
          <w:rPr>
            <w:rStyle w:val="InternetLink"/>
          </w:rPr>
          <w:t>80</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left"/>
        <w:rPr>
          <w:rFonts w:ascii="Times New Roman;serif" w:hAnsi="Times New Roman;serif"/>
          <w:b/>
          <w:color w:val="000000"/>
          <w:sz w:val="22"/>
          <w:u w:val="single"/>
        </w:rPr>
      </w:pPr>
      <w:r>
        <w:rPr>
          <w:rFonts w:ascii="Times New Roman;serif" w:hAnsi="Times New Roman;serif"/>
          <w:b/>
          <w:color w:val="000000"/>
          <w:sz w:val="22"/>
          <w:u w:val="single"/>
        </w:rPr>
        <w:t>SCHEDULES</w:t>
      </w:r>
    </w:p>
    <w:p>
      <w:pPr>
        <w:pStyle w:val="TextBody"/>
        <w:bidi w:val="0"/>
        <w:spacing w:lineRule="auto" w:line="288" w:before="239" w:after="283"/>
        <w:jc w:val="left"/>
        <w:rPr>
          <w:rFonts w:ascii="Times New Roman;serif" w:hAnsi="Times New Roman;serif"/>
          <w:b/>
          <w:color w:val="000000"/>
          <w:sz w:val="22"/>
        </w:rPr>
      </w:pPr>
      <w:r>
        <w:rPr>
          <w:rFonts w:ascii="Times New Roman;serif" w:hAnsi="Times New Roman;serif"/>
          <w:b/>
          <w:color w:val="000000"/>
          <w:sz w:val="22"/>
        </w:rPr>
        <w:t>SCHEDULE 1 – [Reserved]</w:t>
      </w:r>
    </w:p>
    <w:p>
      <w:pPr>
        <w:pStyle w:val="TextBody"/>
        <w:bidi w:val="0"/>
        <w:spacing w:lineRule="auto" w:line="542" w:before="242" w:after="283"/>
        <w:jc w:val="left"/>
        <w:rPr>
          <w:rFonts w:ascii="Times New Roman;serif" w:hAnsi="Times New Roman;serif"/>
          <w:b/>
          <w:color w:val="000000"/>
          <w:sz w:val="22"/>
        </w:rPr>
      </w:pPr>
      <w:r>
        <w:rPr>
          <w:rFonts w:ascii="Times New Roman;serif" w:hAnsi="Times New Roman;serif"/>
          <w:b/>
          <w:color w:val="000000"/>
          <w:sz w:val="22"/>
        </w:rPr>
        <w:t>SCHEDULE 2 – Revolving Commitments SCHEDULE 5.12 – Properties SCHEDULE 5.24 – Subsidiaries SCHEDULE 6.11 – Indebtedness SCHEDULE 6.14 – Investments SCHEDULE 6.16 – Liens</w:t>
      </w:r>
    </w:p>
    <w:p>
      <w:pPr>
        <w:pStyle w:val="TextBody"/>
        <w:bidi w:val="0"/>
        <w:spacing w:before="238" w:after="283"/>
        <w:jc w:val="left"/>
        <w:rPr/>
      </w:pPr>
      <w:r>
        <w:rPr/>
      </w:r>
    </w:p>
    <w:p>
      <w:pPr>
        <w:pStyle w:val="TextBody"/>
        <w:bidi w:val="0"/>
        <w:spacing w:lineRule="auto" w:line="288" w:before="1" w:after="283"/>
        <w:jc w:val="left"/>
        <w:rPr>
          <w:rFonts w:ascii="Times New Roman;serif" w:hAnsi="Times New Roman;serif"/>
          <w:b/>
          <w:color w:val="000000"/>
          <w:sz w:val="22"/>
          <w:u w:val="single"/>
        </w:rPr>
      </w:pPr>
      <w:r>
        <w:rPr>
          <w:rFonts w:ascii="Times New Roman;serif" w:hAnsi="Times New Roman;serif"/>
          <w:b/>
          <w:color w:val="000000"/>
          <w:sz w:val="22"/>
          <w:u w:val="single"/>
        </w:rPr>
        <w:t>EXHIBITS</w:t>
      </w:r>
    </w:p>
    <w:p>
      <w:pPr>
        <w:pStyle w:val="TextBody"/>
        <w:bidi w:val="0"/>
        <w:spacing w:lineRule="auto" w:line="288" w:before="239" w:after="283"/>
        <w:jc w:val="left"/>
        <w:rPr>
          <w:rFonts w:ascii="Times New Roman;serif" w:hAnsi="Times New Roman;serif"/>
          <w:b/>
          <w:color w:val="000000"/>
          <w:sz w:val="22"/>
        </w:rPr>
      </w:pPr>
      <w:r>
        <w:rPr>
          <w:rFonts w:ascii="Times New Roman;serif" w:hAnsi="Times New Roman;serif"/>
          <w:b/>
          <w:color w:val="000000"/>
          <w:sz w:val="22"/>
        </w:rPr>
        <w:t>EXHIBIT A – Reserved</w:t>
      </w:r>
    </w:p>
    <w:p>
      <w:pPr>
        <w:pStyle w:val="TextBody"/>
        <w:bidi w:val="0"/>
        <w:spacing w:lineRule="auto" w:line="542" w:before="239" w:after="283"/>
        <w:jc w:val="left"/>
        <w:rPr>
          <w:rFonts w:ascii="Times New Roman;serif" w:hAnsi="Times New Roman;serif"/>
          <w:b/>
          <w:color w:val="000000"/>
          <w:sz w:val="22"/>
        </w:rPr>
      </w:pPr>
      <w:r>
        <w:rPr>
          <w:rFonts w:ascii="Times New Roman;serif" w:hAnsi="Times New Roman;serif"/>
          <w:b/>
          <w:color w:val="000000"/>
          <w:sz w:val="22"/>
        </w:rPr>
        <w:t>EXHIBIT B-1 – Form of Report of Borrowing Base EXHIBIT B-2 – Form of Compliance Certificate</w:t>
      </w:r>
    </w:p>
    <w:p>
      <w:pPr>
        <w:pStyle w:val="TextBody"/>
        <w:bidi w:val="0"/>
        <w:spacing w:lineRule="auto" w:line="544" w:before="0" w:after="0"/>
        <w:jc w:val="left"/>
        <w:rPr>
          <w:rFonts w:ascii="Times New Roman;serif" w:hAnsi="Times New Roman;serif"/>
          <w:b/>
          <w:color w:val="000000"/>
          <w:sz w:val="22"/>
        </w:rPr>
      </w:pPr>
      <w:r>
        <w:rPr>
          <w:rFonts w:ascii="Times New Roman;serif" w:hAnsi="Times New Roman;serif"/>
          <w:b/>
          <w:color w:val="000000"/>
          <w:sz w:val="22"/>
        </w:rPr>
        <w:t>EXHIBIT C – Form of Assignment and Assumption Agreement EXHIBIT D-1 – Form of Borrowing Notice</w:t>
      </w:r>
    </w:p>
    <w:p>
      <w:pPr>
        <w:pStyle w:val="TextBody"/>
        <w:bidi w:val="0"/>
        <w:spacing w:lineRule="auto" w:line="542" w:before="0" w:after="0"/>
        <w:jc w:val="left"/>
        <w:rPr>
          <w:rFonts w:ascii="Times New Roman;serif" w:hAnsi="Times New Roman;serif"/>
          <w:b/>
          <w:color w:val="000000"/>
          <w:sz w:val="22"/>
        </w:rPr>
      </w:pPr>
      <w:r>
        <w:rPr>
          <w:rFonts w:ascii="Times New Roman;serif" w:hAnsi="Times New Roman;serif"/>
          <w:b/>
          <w:color w:val="000000"/>
          <w:sz w:val="22"/>
        </w:rPr>
        <w:t>EXHIBIT D-2 – Form of Conversion/Continuation Notice EXHIBIT E – Form of Note</w:t>
      </w:r>
    </w:p>
    <w:p>
      <w:pPr>
        <w:pStyle w:val="TextBody"/>
        <w:bidi w:val="0"/>
        <w:spacing w:lineRule="atLeast" w:line="253" w:before="0" w:after="0"/>
        <w:jc w:val="left"/>
        <w:rPr>
          <w:rFonts w:ascii="Times New Roman;serif" w:hAnsi="Times New Roman;serif"/>
          <w:b/>
          <w:color w:val="000000"/>
          <w:sz w:val="22"/>
        </w:rPr>
      </w:pPr>
      <w:r>
        <w:rPr>
          <w:rFonts w:ascii="Times New Roman;serif" w:hAnsi="Times New Roman;serif"/>
          <w:b/>
          <w:color w:val="000000"/>
          <w:sz w:val="22"/>
        </w:rPr>
        <w:t>EXHIBIT F – List of Closing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1" w:after="283"/>
        <w:jc w:val="center"/>
        <w:rPr>
          <w:rFonts w:ascii="Times New Roman;serif" w:hAnsi="Times New Roman;serif"/>
          <w:b/>
          <w:color w:val="000000"/>
          <w:sz w:val="22"/>
        </w:rPr>
      </w:pPr>
      <w:r>
        <w:rPr>
          <w:rFonts w:ascii="Times New Roman;serif" w:hAnsi="Times New Roman;serif"/>
          <w:b/>
          <w:color w:val="000000"/>
          <w:sz w:val="22"/>
        </w:rPr>
        <w:t>THIRD AMENDED AND RESTATED CREDIT AGREEMENT</w:t>
      </w:r>
    </w:p>
    <w:p>
      <w:pPr>
        <w:pStyle w:val="TextBody"/>
        <w:bidi w:val="0"/>
        <w:spacing w:lineRule="auto" w:line="280" w:before="237" w:after="283"/>
        <w:ind w:left="0" w:right="0" w:firstLine="719"/>
        <w:jc w:val="both"/>
        <w:rPr/>
      </w:pPr>
      <w:r>
        <w:rPr>
          <w:rFonts w:ascii="Times New Roman;serif" w:hAnsi="Times New Roman;serif"/>
          <w:b w:val="false"/>
          <w:color w:val="000000"/>
          <w:sz w:val="22"/>
        </w:rPr>
        <w:t>This Third Amended and Restated Credit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dated as of August 21, 2026, is by and among Universal Electronics Inc., a corporation organized under the laws of the State of Delaware, the Lenders from time to time party hereto, and U.S. Bank National Association, a national banking association, as Administrative Agent, Sole Lead Arranger and Sole Book Runner.</w:t>
      </w:r>
    </w:p>
    <w:p>
      <w:pPr>
        <w:pStyle w:val="TextBody"/>
        <w:bidi w:val="0"/>
        <w:spacing w:lineRule="auto" w:line="288" w:before="230" w:after="283"/>
        <w:ind w:left="0" w:right="0" w:firstLine="719"/>
        <w:jc w:val="both"/>
        <w:rPr/>
      </w:pPr>
      <w:r>
        <w:rPr>
          <w:rFonts w:ascii="Times New Roman;serif" w:hAnsi="Times New Roman;serif"/>
          <w:b w:val="false"/>
          <w:color w:val="000000"/>
          <w:sz w:val="22"/>
        </w:rPr>
        <w:t>A.The Borrower and U.S. Bank National Association have entered into a Second Amended and Restated Credit Agreement dated as of October 27, 2017, as amended by a First Amendment to Second Amended and Restated Credit Agreement dated as of May 4, 2018, a Second Amendment to Second Amended and Restated Credit Agreement dated as of December 20, 2018, a Third Amendment to Second Amended and Restated Credit Agreement dated as of November 1, 2019, a Fourth Amendment to Second Amended and Restated Credit Agreement dated as of January 7, 2021, a Fifth Amendment to Second Amended and Restated Credit Agreement dated as of October 25, 2021, a Sixth Amendment to Second Amended and Restated Credit Agreement dated as of May 3, 2023, a Seventh Amendment to Second Amended and Restated Credit Agreement dated as of March 13, 2024, an Eighth Amendment to Second Amended and Restated Credit Agreement dated as of August 16, 2024, a Ninth Amendment to Second Amended and Restated Credit Agreement dated as of December 16, 2024, a Tenth Amendment to Second Amended and Restated Credit Agreement dated as of July 25, 2025, an Eleventh Amendment to Second Amended and Restated Credit Agreement dated as of November 17, 2025, and a Twelfth Amendment to Second Amended and Restated Credit Agreement dated as of March 11, 2026 (collectively, as amended, restated, supplemented, or otherwise modified prior to the date hereof, the “</w:t>
      </w:r>
      <w:r>
        <w:rPr>
          <w:rFonts w:ascii="Times New Roman;serif" w:hAnsi="Times New Roman;serif"/>
          <w:b w:val="false"/>
          <w:color w:val="000000"/>
          <w:sz w:val="22"/>
          <w:u w:val="single"/>
        </w:rPr>
        <w:t>Prior Credit Agreement</w:t>
      </w:r>
      <w:r>
        <w:rPr>
          <w:color w:val="000000"/>
        </w:rPr>
        <w:t>”</w:t>
      </w:r>
      <w:r>
        <w:rPr>
          <w:rFonts w:ascii="Times New Roman;serif" w:hAnsi="Times New Roman;serif"/>
          <w:b w:val="false"/>
          <w:color w:val="000000"/>
          <w:sz w:val="22"/>
        </w:rPr>
        <w:t>).</w:t>
      </w:r>
    </w:p>
    <w:p>
      <w:pPr>
        <w:pStyle w:val="TextBody"/>
        <w:bidi w:val="0"/>
        <w:spacing w:lineRule="auto" w:line="288"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B.The Borrower and U.S. Bank National Association have agreed to amend and restate the Prior Credit Agreement in its entirety with this Agreement on the terms and subject to the conditions set forth herein.</w:t>
      </w:r>
    </w:p>
    <w:p>
      <w:pPr>
        <w:pStyle w:val="TextBody"/>
        <w:bidi w:val="0"/>
        <w:spacing w:lineRule="auto" w:line="283" w:before="239" w:after="283"/>
        <w:ind w:left="0" w:right="0" w:firstLine="719"/>
        <w:jc w:val="left"/>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promises herein set forth and for other good and valuable consideration, the parties hereto agree as follows:</w:t>
      </w:r>
    </w:p>
    <w:p>
      <w:pPr>
        <w:pStyle w:val="TextBody"/>
        <w:bidi w:val="0"/>
        <w:spacing w:lineRule="auto" w:line="559" w:before="223" w:after="283"/>
        <w:ind w:left="0" w:right="0" w:hanging="3"/>
        <w:jc w:val="center"/>
        <w:rPr/>
      </w:pPr>
      <w:r>
        <w:rPr>
          <w:rFonts w:ascii="Times New Roman;serif" w:hAnsi="Times New Roman;serif"/>
          <w:b/>
          <w:color w:val="000000"/>
          <w:sz w:val="22"/>
        </w:rPr>
        <w:t xml:space="preserve">ARTICLE I </w:t>
      </w:r>
      <w:r>
        <w:rPr>
          <w:rFonts w:ascii="Times New Roman;serif" w:hAnsi="Times New Roman;serif"/>
          <w:b/>
          <w:color w:val="000000"/>
          <w:sz w:val="22"/>
          <w:u w:val="single"/>
        </w:rPr>
        <w:t>DEFINITIONS</w:t>
      </w:r>
    </w:p>
    <w:p>
      <w:pPr>
        <w:pStyle w:val="TextBody"/>
        <w:bidi w:val="0"/>
        <w:spacing w:lineRule="atLeast" w:line="245" w:before="0" w:after="0"/>
        <w:ind w:left="0" w:right="0" w:hanging="720"/>
        <w:jc w:val="left"/>
        <w:rPr/>
      </w:pPr>
      <w:r>
        <w:rPr>
          <w:rFonts w:ascii="Times New Roman;serif" w:hAnsi="Times New Roman;serif"/>
          <w:b w:val="false"/>
          <w:color w:val="000000"/>
          <w:sz w:val="22"/>
        </w:rPr>
        <w:t>1.1.</w:t>
      </w:r>
      <w:r>
        <w:rPr>
          <w:rFonts w:ascii="Times New Roman;serif" w:hAnsi="Times New Roman;serif"/>
          <w:b w:val="false"/>
          <w:color w:val="000000"/>
          <w:sz w:val="22"/>
          <w:u w:val="single"/>
        </w:rPr>
        <w:t>Definitions</w:t>
      </w:r>
      <w:r>
        <w:rPr>
          <w:rFonts w:ascii="Times New Roman;serif" w:hAnsi="Times New Roman;serif"/>
          <w:b w:val="false"/>
          <w:color w:val="000000"/>
          <w:sz w:val="22"/>
        </w:rPr>
        <w:t>. As used in this Agreement:</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Accounts” means all “accounts” (as such term is defined in the Uniform Commercial Code as in effect from time to time in the State of Arizona) of Borrower, including, without limitation, the unpaid portion of the obligation of a customer of Borrower in respect of goods purchased by and shipped to such customer and/or the rendition of services of Borrower, as stated on an invoice of Borrower.</w:t>
      </w:r>
    </w:p>
    <w:p>
      <w:pPr>
        <w:pStyle w:val="TextBody"/>
        <w:bidi w:val="0"/>
        <w:spacing w:lineRule="auto" w:line="288" w:before="238" w:after="283"/>
        <w:ind w:left="0" w:right="0" w:firstLine="719"/>
        <w:jc w:val="both"/>
        <w:rPr>
          <w:color w:val="000000"/>
        </w:rPr>
      </w:pPr>
      <w:r>
        <w:rPr>
          <w:color w:val="000000"/>
        </w:rPr>
        <w:t>“</w:t>
      </w:r>
      <w:r>
        <w:rPr>
          <w:rFonts w:ascii="Times New Roman;serif" w:hAnsi="Times New Roman;serif"/>
          <w:b w:val="false"/>
          <w:color w:val="000000"/>
          <w:sz w:val="22"/>
        </w:rPr>
        <w:t>Acquisition” means any transaction, or any series of related transactions, consummated on or after the date of this Agreement, by which the Borrower or any of its Subsidiaries (i) acquires any going-concern business or all or substantially all of the assets of any firm, corporation or limited liability company, or division thereof, whether through purchase of assets, merger or otherwise or (ii) directly or indirectly acquires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 or a majority (by percentage or voting power) of the outstanding ownership interests of a partnership or limited liability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98830"/>
                <wp:effectExtent l="0" t="0" r="0" b="0"/>
                <wp:wrapNone/>
                <wp:docPr id="12" name="Frame10"/>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0" w:before="79" w:after="283"/>
        <w:ind w:left="0" w:right="0" w:firstLine="719"/>
        <w:jc w:val="both"/>
        <w:rPr>
          <w:color w:val="000000"/>
        </w:rPr>
      </w:pPr>
      <w:r>
        <w:rPr>
          <w:color w:val="000000"/>
        </w:rPr>
        <w:t>“</w:t>
      </w:r>
      <w:r>
        <w:rPr>
          <w:rFonts w:ascii="Times New Roman;serif" w:hAnsi="Times New Roman;serif"/>
          <w:b w:val="false"/>
          <w:color w:val="000000"/>
          <w:sz w:val="22"/>
        </w:rPr>
        <w:t>Administrative Agent” means U.S. Bank in its capacity as contractual representative of the Lenders pursuant to Article X, and not in its individual capacity as a Lender, and any successor Administrative Agent appointed pursuant to Article X.</w:t>
      </w:r>
    </w:p>
    <w:p>
      <w:pPr>
        <w:pStyle w:val="TextBody"/>
        <w:bidi w:val="0"/>
        <w:spacing w:lineRule="auto" w:line="288" w:before="234" w:after="283"/>
        <w:jc w:val="left"/>
        <w:rPr>
          <w:color w:val="000000"/>
        </w:rPr>
      </w:pPr>
      <w:r>
        <w:rPr>
          <w:color w:val="000000"/>
        </w:rPr>
        <w:t>“</w:t>
      </w:r>
      <w:r>
        <w:rPr>
          <w:rFonts w:ascii="Times New Roman;serif" w:hAnsi="Times New Roman;serif"/>
          <w:b w:val="false"/>
          <w:color w:val="000000"/>
          <w:sz w:val="22"/>
        </w:rPr>
        <w:t>Affected Lender” is defined in Section 2.20.</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Affiliate” of any Person means any other Person directly or indirectly controlling, controlled by or under common control with such Person, including, without limitation, such Person’s Subsidiaries. A Person shall be deemed to control another Person if the controlling Person owns 10% or more of any class of Equity Interests of the controlled Person or possesses, directly or indirectly, the power to direct or cause the direction of the management or policies of the controlled Person, whether through ownership of Equity Interests, by contract or otherwise.</w:t>
      </w:r>
    </w:p>
    <w:p>
      <w:pPr>
        <w:pStyle w:val="TextBody"/>
        <w:bidi w:val="0"/>
        <w:spacing w:lineRule="auto" w:line="288" w:before="239" w:after="283"/>
        <w:jc w:val="left"/>
        <w:rPr>
          <w:color w:val="000000"/>
        </w:rPr>
      </w:pPr>
      <w:r>
        <w:rPr>
          <w:color w:val="000000"/>
        </w:rPr>
        <w:t>“</w:t>
      </w:r>
      <w:r>
        <w:rPr>
          <w:rFonts w:ascii="Times New Roman;serif" w:hAnsi="Times New Roman;serif"/>
          <w:b w:val="false"/>
          <w:color w:val="000000"/>
          <w:sz w:val="22"/>
        </w:rPr>
        <w:t>Aggregate Revolving Commitment” means, at any time, the aggregate of the Revolving</w:t>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Commitments of all the Lenders.</w:t>
      </w:r>
    </w:p>
    <w:p>
      <w:pPr>
        <w:pStyle w:val="TextBody"/>
        <w:bidi w:val="0"/>
        <w:spacing w:lineRule="auto" w:line="288" w:before="239" w:after="283"/>
        <w:jc w:val="left"/>
        <w:rPr>
          <w:color w:val="000000"/>
        </w:rPr>
      </w:pPr>
      <w:r>
        <w:rPr>
          <w:color w:val="000000"/>
        </w:rPr>
        <w:t>“</w:t>
      </w:r>
      <w:r>
        <w:rPr>
          <w:rFonts w:ascii="Times New Roman;serif" w:hAnsi="Times New Roman;serif"/>
          <w:b w:val="false"/>
          <w:color w:val="000000"/>
          <w:sz w:val="22"/>
        </w:rPr>
        <w:t>Aggregate Revolving Exposure” means, at any time, the aggregate of the Revolving Exposure of</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all the Lenders.</w:t>
      </w:r>
    </w:p>
    <w:p>
      <w:pPr>
        <w:pStyle w:val="TextBody"/>
        <w:bidi w:val="0"/>
        <w:spacing w:lineRule="auto" w:line="288" w:before="239" w:after="283"/>
        <w:jc w:val="left"/>
        <w:rPr>
          <w:color w:val="000000"/>
        </w:rPr>
      </w:pPr>
      <w:r>
        <w:rPr>
          <w:color w:val="000000"/>
        </w:rPr>
        <w:t>“</w:t>
      </w:r>
      <w:r>
        <w:rPr>
          <w:rFonts w:ascii="Times New Roman;serif" w:hAnsi="Times New Roman;serif"/>
          <w:b w:val="false"/>
          <w:color w:val="000000"/>
          <w:sz w:val="22"/>
        </w:rPr>
        <w:t>Agreement” means this Third Amended and Restated Credit Agreement, as it may be amended or</w:t>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modified and in effect from time to time.</w:t>
      </w:r>
    </w:p>
    <w:p>
      <w:pPr>
        <w:pStyle w:val="TextBody"/>
        <w:bidi w:val="0"/>
        <w:spacing w:lineRule="atLeast" w:line="252" w:before="239" w:after="283"/>
        <w:jc w:val="both"/>
        <w:rPr>
          <w:color w:val="000000"/>
        </w:rPr>
      </w:pPr>
      <w:r>
        <w:rPr>
          <w:color w:val="000000"/>
        </w:rPr>
        <w:t>“</w:t>
      </w:r>
      <w:r>
        <w:rPr>
          <w:rFonts w:ascii="Times New Roman;serif" w:hAnsi="Times New Roman;serif"/>
          <w:b w:val="false"/>
          <w:color w:val="000000"/>
          <w:sz w:val="22"/>
        </w:rPr>
        <w:t>Alternate Base Rate” means, for any day, a rate of interest per annum equal to the highest of</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zero, (b) the Prime Rate for such day, (c) the sum of the Federal Funds Effective Rate for such day plus 0.50% per annum and (d) SOFR in effect on such day (taking into account any SOFR floor set forth in the definition of “Daily Simple SOFR”) plus 1.00%. Any change in the Alternate Base Rate due to a change in the Prime Rate, the Federal Funds Effective Rate or SOFR shall be effective from the effective date of such change. If the Alternate Base Rate is being used when SOFR Borrowings are unavailable pursuant to Section 2.11 or 3.3, then the Alternate Base Rate shall be the highest of clauses (a), (b) and (c) above, without reference to clause (d) above.</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2"/>
        </w:rPr>
        <w:t>Anti-Corruption Laws” means all laws, rules, and regulations of any jurisdiction applicable to the</w:t>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Borrower or its Subsidiaries from time to time concerning or relating to bribery or corruption.</w:t>
      </w:r>
    </w:p>
    <w:p>
      <w:pPr>
        <w:pStyle w:val="TextBody"/>
        <w:bidi w:val="0"/>
        <w:spacing w:lineRule="auto" w:line="288" w:before="239" w:after="283"/>
        <w:jc w:val="left"/>
        <w:rPr>
          <w:color w:val="000000"/>
        </w:rPr>
      </w:pPr>
      <w:r>
        <w:rPr>
          <w:color w:val="000000"/>
        </w:rPr>
        <w:t>“</w:t>
      </w:r>
      <w:r>
        <w:rPr>
          <w:rFonts w:ascii="Times New Roman;serif" w:hAnsi="Times New Roman;serif"/>
          <w:b w:val="false"/>
          <w:color w:val="000000"/>
          <w:sz w:val="22"/>
        </w:rPr>
        <w:t>Applicable Margin” means, (a) with respect to a SOFR Borrowing, 3.00%, and (b) with respect to</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a Base Rate Borrowing, 0.00%.</w:t>
      </w:r>
    </w:p>
    <w:p>
      <w:pPr>
        <w:pStyle w:val="TextBody"/>
        <w:bidi w:val="0"/>
        <w:spacing w:lineRule="auto" w:line="283" w:before="237" w:after="283"/>
        <w:ind w:left="0" w:right="0" w:firstLine="719"/>
        <w:jc w:val="both"/>
        <w:rPr>
          <w:color w:val="000000"/>
        </w:rPr>
      </w:pPr>
      <w:r>
        <w:rPr>
          <w:color w:val="000000"/>
        </w:rPr>
        <w:t>“</w:t>
      </w:r>
      <w:r>
        <w:rPr>
          <w:rFonts w:ascii="Times New Roman;serif" w:hAnsi="Times New Roman;serif"/>
          <w:b w:val="false"/>
          <w:color w:val="000000"/>
          <w:sz w:val="22"/>
        </w:rPr>
        <w:t>Approved Fund” means any Fund that is administered or managed by (a) a Lender, (b) an Affiliate of a Lender or (c) an entity or an Affiliate of an entity that administers or manages a Lender.</w:t>
      </w:r>
    </w:p>
    <w:p>
      <w:pPr>
        <w:pStyle w:val="TextBody"/>
        <w:bidi w:val="0"/>
        <w:spacing w:lineRule="auto" w:line="288" w:before="230" w:after="283"/>
        <w:jc w:val="left"/>
        <w:rPr>
          <w:color w:val="000000"/>
        </w:rPr>
      </w:pPr>
      <w:r>
        <w:rPr>
          <w:color w:val="000000"/>
        </w:rPr>
        <w:t>“</w:t>
      </w:r>
      <w:r>
        <w:rPr>
          <w:rFonts w:ascii="Times New Roman;serif" w:hAnsi="Times New Roman;serif"/>
          <w:b w:val="false"/>
          <w:color w:val="000000"/>
          <w:sz w:val="22"/>
        </w:rPr>
        <w:t>Arranger” means U.S. Bank, and its successors, in its capacity as Sole Lead Arranger and Sole</w:t>
      </w:r>
    </w:p>
    <w:p>
      <w:pPr>
        <w:pStyle w:val="TextBody"/>
        <w:bidi w:val="0"/>
        <w:spacing w:lineRule="auto" w:line="288" w:before="4" w:after="283"/>
        <w:jc w:val="left"/>
        <w:rPr>
          <w:rFonts w:ascii="Times New Roman;serif" w:hAnsi="Times New Roman;serif"/>
          <w:b w:val="false"/>
          <w:color w:val="000000"/>
          <w:sz w:val="22"/>
        </w:rPr>
      </w:pPr>
      <w:r>
        <w:rPr>
          <w:rFonts w:ascii="Times New Roman;serif" w:hAnsi="Times New Roman;serif"/>
          <w:b w:val="false"/>
          <w:color w:val="000000"/>
          <w:sz w:val="22"/>
        </w:rPr>
        <w:t>Book Runner.</w:t>
      </w:r>
    </w:p>
    <w:p>
      <w:pPr>
        <w:pStyle w:val="TextBody"/>
        <w:bidi w:val="0"/>
        <w:spacing w:lineRule="auto" w:line="619" w:before="2" w:after="283"/>
        <w:jc w:val="left"/>
        <w:rPr>
          <w:color w:val="000000"/>
        </w:rPr>
      </w:pPr>
      <w:r>
        <w:rPr>
          <w:color w:val="000000"/>
        </w:rPr>
        <w:t>“</w:t>
      </w:r>
      <w:r>
        <w:rPr>
          <w:rFonts w:ascii="Times New Roman;serif" w:hAnsi="Times New Roman;serif"/>
          <w:b w:val="false"/>
          <w:color w:val="000000"/>
          <w:sz w:val="22"/>
        </w:rPr>
        <w:t>Article” means an article of this Agreement unless another document is specifically referenced. “Authorized Officer” means either the Chief Executive Officer or Chief Financial Officer of the</w:t>
      </w:r>
    </w:p>
    <w:p>
      <w:pPr>
        <w:pStyle w:val="TextBody"/>
        <w:bidi w:val="0"/>
        <w:spacing w:lineRule="auto" w:line="288" w:before="4" w:after="283"/>
        <w:jc w:val="left"/>
        <w:rPr>
          <w:rFonts w:ascii="Times New Roman;serif" w:hAnsi="Times New Roman;serif"/>
          <w:b w:val="false"/>
          <w:color w:val="000000"/>
          <w:sz w:val="22"/>
        </w:rPr>
      </w:pPr>
      <w:r>
        <w:rPr>
          <w:rFonts w:ascii="Times New Roman;serif" w:hAnsi="Times New Roman;serif"/>
          <w:b w:val="false"/>
          <w:color w:val="000000"/>
          <w:sz w:val="22"/>
        </w:rPr>
        <w:t>Borrower, acting singly.</w:t>
      </w:r>
    </w:p>
    <w:p>
      <w:pPr>
        <w:pStyle w:val="TextBody"/>
        <w:bidi w:val="0"/>
        <w:spacing w:lineRule="auto" w:line="288" w:before="236" w:after="283"/>
        <w:jc w:val="left"/>
        <w:rPr>
          <w:color w:val="000000"/>
        </w:rPr>
      </w:pPr>
      <w:r>
        <w:rPr>
          <w:color w:val="000000"/>
        </w:rPr>
        <w:t>“</w:t>
      </w:r>
      <w:r>
        <w:rPr>
          <w:rFonts w:ascii="Times New Roman;serif" w:hAnsi="Times New Roman;serif"/>
          <w:b w:val="false"/>
          <w:color w:val="000000"/>
          <w:sz w:val="22"/>
        </w:rPr>
        <w:t>Available Aggregate Revolving Commitment” means, at any time, the Revolving Commitments</w:t>
      </w:r>
    </w:p>
    <w:p>
      <w:pPr>
        <w:pStyle w:val="TextBody"/>
        <w:bidi w:val="0"/>
        <w:spacing w:lineRule="auto" w:line="288" w:before="240" w:after="283"/>
        <w:ind w:left="0" w:right="0" w:firstLine="719"/>
        <w:jc w:val="left"/>
        <w:rPr/>
      </w:pPr>
      <w:r>
        <w:rPr>
          <w:rFonts w:ascii="Times New Roman;serif" w:hAnsi="Times New Roman;serif"/>
          <w:b w:val="false"/>
          <w:color w:val="000000"/>
          <w:sz w:val="22"/>
        </w:rPr>
        <w:t xml:space="preserve">then in effect </w:t>
      </w:r>
      <w:r>
        <w:rPr>
          <w:rFonts w:ascii="Times New Roman;serif" w:hAnsi="Times New Roman;serif"/>
          <w:b w:val="false"/>
          <w:i/>
          <w:color w:val="000000"/>
          <w:sz w:val="22"/>
        </w:rPr>
        <w:t xml:space="preserve">minus </w:t>
      </w:r>
      <w:r>
        <w:rPr>
          <w:rFonts w:ascii="Times New Roman;serif" w:hAnsi="Times New Roman;serif"/>
          <w:b w:val="false"/>
          <w:color w:val="000000"/>
          <w:sz w:val="22"/>
        </w:rPr>
        <w:t>the Revolving Exposures at such time.</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98830"/>
                <wp:effectExtent l="0" t="0" r="0" b="0"/>
                <wp:wrapNone/>
                <wp:docPr id="13" name="Frame11"/>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left"/>
        <w:rPr/>
      </w:pPr>
      <w:r>
        <w:rPr/>
      </w:r>
    </w:p>
    <w:p>
      <w:pPr>
        <w:pStyle w:val="TextBody"/>
        <w:bidi w:val="0"/>
        <w:spacing w:lineRule="auto" w:line="288" w:before="79" w:after="283"/>
        <w:ind w:left="0" w:right="0" w:firstLine="719"/>
        <w:jc w:val="both"/>
        <w:rPr>
          <w:color w:val="000000"/>
        </w:rPr>
      </w:pPr>
      <w:r>
        <w:rPr>
          <w:color w:val="000000"/>
        </w:rPr>
        <w:t>“</w:t>
      </w:r>
      <w:r>
        <w:rPr>
          <w:rFonts w:ascii="Times New Roman;serif" w:hAnsi="Times New Roman;serif"/>
          <w:b w:val="false"/>
          <w:color w:val="000000"/>
          <w:sz w:val="22"/>
        </w:rPr>
        <w:t>Available Tenor”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or any frequency of making payments of interest calculated with reference to such Benchmark pursuant to this Agreement as of such date and not including, for the avoidance of doubt, any tenor for such Benchmark that is then-removed pursuant to clause (iv) of Section 3.3(b).</w:t>
      </w:r>
    </w:p>
    <w:p>
      <w:pPr>
        <w:pStyle w:val="TextBody"/>
        <w:bidi w:val="0"/>
        <w:spacing w:lineRule="auto" w:line="283" w:before="239" w:after="283"/>
        <w:ind w:left="0" w:right="0" w:firstLine="719"/>
        <w:jc w:val="both"/>
        <w:rPr>
          <w:color w:val="000000"/>
        </w:rPr>
      </w:pPr>
      <w:r>
        <w:rPr>
          <w:color w:val="000000"/>
        </w:rPr>
        <w:t>“</w:t>
      </w:r>
      <w:r>
        <w:rPr>
          <w:rFonts w:ascii="Times New Roman;serif" w:hAnsi="Times New Roman;serif"/>
          <w:b w:val="false"/>
          <w:color w:val="000000"/>
          <w:sz w:val="22"/>
        </w:rPr>
        <w:t>Bail-In Action” means the exercise of any Write-Down and Conversion Powers by the applicable EEA Resolution Authority in respect of any liability of an EEA Financial Institution.</w:t>
      </w:r>
    </w:p>
    <w:p>
      <w:pPr>
        <w:pStyle w:val="TextBody"/>
        <w:bidi w:val="0"/>
        <w:spacing w:lineRule="auto" w:line="288" w:before="230" w:after="283"/>
        <w:ind w:left="0" w:right="0" w:firstLine="719"/>
        <w:jc w:val="both"/>
        <w:rPr>
          <w:color w:val="000000"/>
        </w:rPr>
      </w:pPr>
      <w:r>
        <w:rPr>
          <w:color w:val="000000"/>
        </w:rPr>
        <w:t>“</w:t>
      </w:r>
      <w:r>
        <w:rPr>
          <w:rFonts w:ascii="Times New Roman;serif" w:hAnsi="Times New Roman;serif"/>
          <w:b w:val="false"/>
          <w:color w:val="000000"/>
          <w:sz w:val="22"/>
        </w:rPr>
        <w:t>Bail-In Legislation”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242" w:after="283"/>
        <w:ind w:left="0" w:right="0" w:firstLine="719"/>
        <w:jc w:val="both"/>
        <w:rPr>
          <w:color w:val="000000"/>
        </w:rPr>
      </w:pPr>
      <w:r>
        <w:rPr>
          <w:color w:val="000000"/>
        </w:rPr>
        <w:t>“</w:t>
      </w:r>
      <w:r>
        <w:rPr>
          <w:rFonts w:ascii="Times New Roman;serif" w:hAnsi="Times New Roman;serif"/>
          <w:b w:val="false"/>
          <w:color w:val="000000"/>
          <w:sz w:val="22"/>
        </w:rPr>
        <w:t>Base Rate” means, for any day, a rate per annum equal to (a) the Alternate Base Rate for such day plus (b) the Applicable Margin for such day, in each case changing when and as the Alternate Base Rate or the Applicable Margin changes.</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Base Rate Borrowing” means a Borrowing that, except as otherwise provided in Section 2.11, bears interest at the Base Rate.</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Base Rate Loan” means a Loan which, except as otherwise provided in Section 2.11, bears interest at the Base Rate.</w:t>
      </w:r>
    </w:p>
    <w:p>
      <w:pPr>
        <w:pStyle w:val="TextBody"/>
        <w:bidi w:val="0"/>
        <w:spacing w:lineRule="auto" w:line="280" w:before="239" w:after="283"/>
        <w:ind w:left="0" w:right="0" w:firstLine="719"/>
        <w:jc w:val="both"/>
        <w:rPr>
          <w:color w:val="000000"/>
        </w:rPr>
      </w:pPr>
      <w:r>
        <w:rPr>
          <w:color w:val="000000"/>
        </w:rPr>
        <w:t>“</w:t>
      </w:r>
      <w:r>
        <w:rPr>
          <w:rFonts w:ascii="Times New Roman;serif" w:hAnsi="Times New Roman;serif"/>
          <w:b w:val="false"/>
          <w:color w:val="000000"/>
          <w:sz w:val="22"/>
        </w:rPr>
        <w:t>Benchmark” means, initially, Daily Simple SOFR; provided that if a replacement of the Benchmark has occurred pursuant to Section 3.3(b), then “Benchmark” means the applicable Benchmark Replacement, to the extent that such Benchmark Replacement has become effective pursuant to Section 3.3(b).</w:t>
      </w:r>
    </w:p>
    <w:p>
      <w:pPr>
        <w:pStyle w:val="TextBody"/>
        <w:bidi w:val="0"/>
        <w:spacing w:lineRule="auto" w:line="280" w:before="230" w:after="283"/>
        <w:ind w:left="0" w:right="0" w:firstLine="719"/>
        <w:jc w:val="both"/>
        <w:rPr>
          <w:color w:val="000000"/>
        </w:rPr>
      </w:pPr>
      <w:r>
        <w:rPr>
          <w:color w:val="000000"/>
        </w:rPr>
        <w:t>“</w:t>
      </w:r>
      <w:r>
        <w:rPr>
          <w:rFonts w:ascii="Times New Roman;serif" w:hAnsi="Times New Roman;serif"/>
          <w:b w:val="false"/>
          <w:color w:val="000000"/>
          <w:sz w:val="22"/>
        </w:rPr>
        <w:t>Benchmark Replacement” means, for any Available Tenor, the first alternative set forth in the order below that can be determined by the Administrative Agent for the applicable Benchmark Replacement Date:</w:t>
      </w:r>
    </w:p>
    <w:p>
      <w:pPr>
        <w:pStyle w:val="TextBody"/>
        <w:bidi w:val="0"/>
        <w:spacing w:lineRule="auto" w:line="288" w:before="235"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(1)Daily Simple SOFR; or</w:t>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 provided that if the Benchmark Replacement as so determined would be less than the Floor, the Benchmark Replacement will be deemed to be the Floor for the purposes of this Agreement and the other Loan Documents.</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98830"/>
                <wp:effectExtent l="0" t="0" r="0" b="0"/>
                <wp:wrapNone/>
                <wp:docPr id="14" name="Frame12"/>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19"/>
        <w:jc w:val="both"/>
        <w:rPr>
          <w:color w:val="000000"/>
        </w:rPr>
      </w:pPr>
      <w:r>
        <w:rPr>
          <w:color w:val="000000"/>
        </w:rPr>
        <w:t>“</w:t>
      </w:r>
      <w:r>
        <w:rPr>
          <w:rFonts w:ascii="Times New Roman;serif" w:hAnsi="Times New Roman;serif"/>
          <w:b w:val="false"/>
          <w:color w:val="000000"/>
          <w:sz w:val="22"/>
        </w:rPr>
        <w:t>Benchmark Replacement Adjustment” means, with respect to any replacement of the then-current Benchmark with a Benchmark Replacement for any setting of such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Benchmark Replacement Conforming Changes” means, with respect to any Benchmark Replacement, any technical, administrative or operational changes (including changes to the definition of “Borrowing” and “SOFR Borrowing,” the definition of “Alternate Base Rate,” the definition of “Business Day,” the definition of “SOFR Loan”,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pStyle w:val="TextBody"/>
        <w:bidi w:val="0"/>
        <w:spacing w:lineRule="auto" w:line="288" w:before="241" w:after="283"/>
        <w:jc w:val="left"/>
        <w:rPr>
          <w:color w:val="000000"/>
        </w:rPr>
      </w:pPr>
      <w:r>
        <w:rPr>
          <w:color w:val="000000"/>
        </w:rPr>
        <w:t>“</w:t>
      </w:r>
      <w:r>
        <w:rPr>
          <w:rFonts w:ascii="Times New Roman;serif" w:hAnsi="Times New Roman;serif"/>
          <w:b w:val="false"/>
          <w:color w:val="000000"/>
          <w:sz w:val="22"/>
        </w:rPr>
        <w:t>Benchmark Replacement Date” means the earlier to occur of the following events with respect to</w:t>
      </w:r>
    </w:p>
    <w:p>
      <w:pPr>
        <w:pStyle w:val="TextBody"/>
        <w:bidi w:val="0"/>
        <w:spacing w:lineRule="auto" w:line="288" w:before="4" w:after="283"/>
        <w:jc w:val="left"/>
        <w:rPr>
          <w:rFonts w:ascii="Times New Roman;serif" w:hAnsi="Times New Roman;serif"/>
          <w:b w:val="false"/>
          <w:color w:val="000000"/>
          <w:sz w:val="22"/>
        </w:rPr>
      </w:pPr>
      <w:r>
        <w:rPr>
          <w:rFonts w:ascii="Times New Roman;serif" w:hAnsi="Times New Roman;serif"/>
          <w:b w:val="false"/>
          <w:color w:val="000000"/>
          <w:sz w:val="22"/>
        </w:rPr>
        <w:t>the then-current Benchmark:</w:t>
      </w:r>
    </w:p>
    <w:p>
      <w:pPr>
        <w:pStyle w:val="TextBody"/>
        <w:bidi w:val="0"/>
        <w:spacing w:lineRule="atLeast" w:line="252" w:before="237" w:after="283"/>
        <w:ind w:left="0" w:right="0" w:hanging="719"/>
        <w:jc w:val="right"/>
        <w:rPr>
          <w:rFonts w:ascii="Times New Roman;serif" w:hAnsi="Times New Roman;serif"/>
          <w:b w:val="false"/>
          <w:color w:val="000000"/>
          <w:sz w:val="22"/>
        </w:rPr>
      </w:pPr>
      <w:r>
        <w:rPr>
          <w:rFonts w:ascii="Times New Roman;serif" w:hAnsi="Times New Roman;serif"/>
          <w:b w:val="false"/>
          <w:color w:val="000000"/>
          <w:sz w:val="22"/>
        </w:rPr>
        <w:t>(1)in the case of clause (1) or (2) of the definition of “Benchmark Transition Event,”</w:t>
      </w:r>
    </w:p>
    <w:p>
      <w:pPr>
        <w:pStyle w:val="TextBody"/>
        <w:bidi w:val="0"/>
        <w:spacing w:lineRule="atLeast" w:line="252" w:before="0" w:after="0"/>
        <w:jc w:val="right"/>
        <w:rPr>
          <w:rFonts w:ascii="Times New Roman;serif" w:hAnsi="Times New Roman;serif"/>
          <w:b w:val="false"/>
          <w:color w:val="000000"/>
          <w:sz w:val="22"/>
        </w:rPr>
      </w:pPr>
      <w:r>
        <w:rPr>
          <w:rFonts w:ascii="Times New Roman;serif" w:hAnsi="Times New Roman;serif"/>
          <w:b w:val="false"/>
          <w:color w:val="000000"/>
          <w:sz w:val="22"/>
        </w:rPr>
        <w:t>the later of (a) the date of the public statement or publication of information referenced therein and</w:t>
      </w:r>
    </w:p>
    <w:p>
      <w:pPr>
        <w:pStyle w:val="TextBody"/>
        <w:bidi w:val="0"/>
        <w:spacing w:lineRule="auto" w:line="280" w:before="1" w:after="283"/>
        <w:jc w:val="both"/>
        <w:rPr>
          <w:rFonts w:ascii="Times New Roman;serif" w:hAnsi="Times New Roman;serif"/>
          <w:b w:val="false"/>
          <w:color w:val="000000"/>
          <w:sz w:val="22"/>
        </w:rPr>
      </w:pPr>
      <w:r>
        <w:rPr>
          <w:rFonts w:ascii="Times New Roman;serif" w:hAnsi="Times New Roman;serif"/>
          <w:b w:val="false"/>
          <w:color w:val="000000"/>
          <w:sz w:val="22"/>
        </w:rPr>
        <w:t>(b)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23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w:t>
      </w:r>
    </w:p>
    <w:p>
      <w:pPr>
        <w:pStyle w:val="TextBody"/>
        <w:bidi w:val="0"/>
        <w:spacing w:lineRule="auto" w:line="280"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the “Benchmark Replacement Date” will be deemed to have occurred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98830"/>
                <wp:effectExtent l="0" t="0" r="0" b="0"/>
                <wp:wrapNone/>
                <wp:docPr id="15" name="Frame13"/>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left"/>
        <w:rPr>
          <w:color w:val="000000"/>
        </w:rPr>
      </w:pPr>
      <w:r>
        <w:rPr>
          <w:color w:val="000000"/>
        </w:rPr>
        <w:t>“</w:t>
      </w:r>
      <w:r>
        <w:rPr>
          <w:rFonts w:ascii="Times New Roman;serif" w:hAnsi="Times New Roman;serif"/>
          <w:b w:val="false"/>
          <w:color w:val="000000"/>
          <w:sz w:val="22"/>
        </w:rPr>
        <w:t>Benchmark Transition Event” means the occurrence of one or more of the following events with</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respect to the then-current Benchmark:</w:t>
      </w:r>
    </w:p>
    <w:p>
      <w:pPr>
        <w:pStyle w:val="TextBody"/>
        <w:bidi w:val="0"/>
        <w:spacing w:lineRule="auto" w:line="288" w:before="239"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lineRule="auto" w:line="288" w:before="239"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lineRule="auto" w:line="280" w:before="24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(3)a public statement or publication of information by any of the entities referenced in clause (2) above announcing that all Available Tenors of such Benchmark (or such component thereof) are no longer, or as of a specified future date will no longer be, representative.</w:t>
      </w:r>
    </w:p>
    <w:p>
      <w:pPr>
        <w:pStyle w:val="TextBody"/>
        <w:bidi w:val="0"/>
        <w:spacing w:lineRule="auto" w:line="288" w:before="232"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241" w:after="283"/>
        <w:ind w:left="0" w:right="0" w:firstLine="719"/>
        <w:jc w:val="both"/>
        <w:rPr>
          <w:color w:val="000000"/>
        </w:rPr>
      </w:pPr>
      <w:r>
        <w:rPr>
          <w:color w:val="000000"/>
        </w:rPr>
        <w:t>“</w:t>
      </w:r>
      <w:r>
        <w:rPr>
          <w:rFonts w:ascii="Times New Roman;serif" w:hAnsi="Times New Roman;serif"/>
          <w:b w:val="false"/>
          <w:color w:val="000000"/>
          <w:sz w:val="22"/>
        </w:rPr>
        <w:t>Benchmark Unavailability Period” means the period (if any) (x) beginning at the time that a Benchmark Replacement Date has occurred if, at such time, no Benchmark Replacement has replaced the then-current Benchmark in accordance with Section 3.3(b), and (y) ending at the time that a Benchmark Replacement has replaced the then-current Benchmark in accordance with Section 3.3(b).</w:t>
      </w:r>
    </w:p>
    <w:p>
      <w:pPr>
        <w:pStyle w:val="TextBody"/>
        <w:bidi w:val="0"/>
        <w:spacing w:lineRule="auto" w:line="288" w:before="239" w:after="283"/>
        <w:jc w:val="left"/>
        <w:rPr>
          <w:color w:val="000000"/>
        </w:rPr>
      </w:pPr>
      <w:r>
        <w:rPr>
          <w:color w:val="000000"/>
        </w:rPr>
        <w:t>“</w:t>
      </w:r>
      <w:r>
        <w:rPr>
          <w:rFonts w:ascii="Times New Roman;serif" w:hAnsi="Times New Roman;serif"/>
          <w:b w:val="false"/>
          <w:color w:val="000000"/>
          <w:sz w:val="22"/>
        </w:rPr>
        <w:t>Borrower” means Universal Electronics Inc., a corporation organized under the laws of the state</w:t>
      </w:r>
    </w:p>
    <w:p>
      <w:pPr>
        <w:pStyle w:val="TextBody"/>
        <w:bidi w:val="0"/>
        <w:spacing w:lineRule="auto" w:line="288" w:before="3" w:after="283"/>
        <w:jc w:val="left"/>
        <w:rPr>
          <w:rFonts w:ascii="Times New Roman;serif" w:hAnsi="Times New Roman;serif"/>
          <w:b w:val="false"/>
          <w:color w:val="000000"/>
          <w:sz w:val="22"/>
        </w:rPr>
      </w:pPr>
      <w:r>
        <w:rPr>
          <w:rFonts w:ascii="Times New Roman;serif" w:hAnsi="Times New Roman;serif"/>
          <w:b w:val="false"/>
          <w:color w:val="000000"/>
          <w:sz w:val="22"/>
        </w:rPr>
        <w:t>of Delaware, and its successors and assigns.</w:t>
      </w:r>
    </w:p>
    <w:p>
      <w:pPr>
        <w:pStyle w:val="TextBody"/>
        <w:bidi w:val="0"/>
        <w:spacing w:lineRule="auto" w:line="288" w:before="237" w:after="283"/>
        <w:ind w:left="0" w:right="0" w:firstLine="719"/>
        <w:jc w:val="both"/>
        <w:rPr>
          <w:color w:val="000000"/>
        </w:rPr>
      </w:pPr>
      <w:r>
        <w:rPr>
          <w:color w:val="000000"/>
        </w:rPr>
        <w:t>“</w:t>
      </w:r>
      <w:r>
        <w:rPr>
          <w:rFonts w:ascii="Times New Roman;serif" w:hAnsi="Times New Roman;serif"/>
          <w:b w:val="false"/>
          <w:color w:val="000000"/>
          <w:sz w:val="22"/>
        </w:rPr>
        <w:t>Borrowing” means a borrowing hereunder, (i) made by some or all of the Lenders on the same Borrowing Date, or (ii) converted or continued by the Lenders on the same date of conversion or continuation, consisting, in either case, of the aggregate amount of the several Loans of the same Type. The term “Borrowing” excludes Swing Line Loans unless otherwise expressly provided.</w:t>
      </w:r>
    </w:p>
    <w:p>
      <w:pPr>
        <w:pStyle w:val="TextBody"/>
        <w:bidi w:val="0"/>
        <w:spacing w:lineRule="auto" w:line="288" w:before="241" w:after="283"/>
        <w:jc w:val="left"/>
        <w:rPr>
          <w:color w:val="000000"/>
        </w:rPr>
      </w:pPr>
      <w:r>
        <w:rPr>
          <w:color w:val="000000"/>
        </w:rPr>
        <w:t>“</w:t>
      </w:r>
      <w:r>
        <w:rPr>
          <w:rFonts w:ascii="Times New Roman;serif" w:hAnsi="Times New Roman;serif"/>
          <w:b w:val="false"/>
          <w:color w:val="000000"/>
          <w:sz w:val="22"/>
        </w:rPr>
        <w:t>Borrowing Base” means, as of any date of determination by Administrative Agent, an amount in</w:t>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Dollars equal to 75% of the book value of Net Eligible Accounts.</w:t>
      </w:r>
    </w:p>
    <w:p>
      <w:pPr>
        <w:pStyle w:val="TextBody"/>
        <w:bidi w:val="0"/>
        <w:spacing w:lineRule="auto" w:line="542" w:before="240" w:after="283"/>
        <w:ind w:left="0" w:right="0" w:firstLine="719"/>
        <w:jc w:val="left"/>
        <w:rPr>
          <w:color w:val="000000"/>
        </w:rPr>
      </w:pPr>
      <w:r>
        <w:rPr>
          <w:color w:val="000000"/>
        </w:rPr>
        <w:t>“</w:t>
      </w:r>
      <w:r>
        <w:rPr>
          <w:rFonts w:ascii="Times New Roman;serif" w:hAnsi="Times New Roman;serif"/>
          <w:b w:val="false"/>
          <w:color w:val="000000"/>
          <w:sz w:val="22"/>
        </w:rPr>
        <w:t>Borrowing Date” means a date on which a Borrowing is made or a Facility LC is issued hereunder. “Borrowing Notice” is defined in Section 2.8.</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98830"/>
                <wp:effectExtent l="0" t="0" r="0" b="0"/>
                <wp:wrapNone/>
                <wp:docPr id="16" name="Frame14"/>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left"/>
        <w:rPr/>
      </w:pPr>
      <w:r>
        <w:rPr/>
      </w:r>
    </w:p>
    <w:p>
      <w:pPr>
        <w:pStyle w:val="TextBody"/>
        <w:bidi w:val="0"/>
        <w:spacing w:lineRule="auto" w:line="288" w:before="79" w:after="283"/>
        <w:ind w:left="0" w:right="0" w:firstLine="719"/>
        <w:jc w:val="both"/>
        <w:rPr>
          <w:color w:val="000000"/>
        </w:rPr>
      </w:pPr>
      <w:r>
        <w:rPr>
          <w:color w:val="000000"/>
        </w:rPr>
        <w:t>“</w:t>
      </w:r>
      <w:r>
        <w:rPr>
          <w:rFonts w:ascii="Times New Roman;serif" w:hAnsi="Times New Roman;serif"/>
          <w:b w:val="false"/>
          <w:color w:val="000000"/>
          <w:sz w:val="22"/>
        </w:rPr>
        <w:t>Business Day” means a day (other than a Saturday or Sunday) on which banks generally are open in New York City, New York for the conduct of substantially all of their commercial lending activities and interbank wire transfers can be made on the Fedwire system; provided that, when used in connection with SOFR, the term “SOFR Business Day” shall apply.</w:t>
      </w:r>
    </w:p>
    <w:p>
      <w:pPr>
        <w:pStyle w:val="TextBody"/>
        <w:bidi w:val="0"/>
        <w:spacing w:lineRule="auto" w:line="288" w:before="241" w:after="283"/>
        <w:ind w:left="0" w:right="0" w:firstLine="719"/>
        <w:jc w:val="both"/>
        <w:rPr>
          <w:color w:val="000000"/>
        </w:rPr>
      </w:pPr>
      <w:r>
        <w:rPr>
          <w:color w:val="000000"/>
        </w:rPr>
        <w:t>“</w:t>
      </w:r>
      <w:r>
        <w:rPr>
          <w:rFonts w:ascii="Times New Roman;serif" w:hAnsi="Times New Roman;serif"/>
          <w:b w:val="false"/>
          <w:color w:val="000000"/>
          <w:sz w:val="22"/>
        </w:rPr>
        <w:t>Capital Expenditures” means, without duplication, any expenditures for any purchase or other acquisition of any asset which would be classified as a fixed or capital asset on a consolidated balance sheet of the Borrower and its Subsidiaries prepared in accordance with GAAP.</w:t>
      </w:r>
    </w:p>
    <w:p>
      <w:pPr>
        <w:pStyle w:val="TextBody"/>
        <w:bidi w:val="0"/>
        <w:spacing w:lineRule="auto" w:line="288" w:before="239" w:after="283"/>
        <w:jc w:val="left"/>
        <w:rPr>
          <w:color w:val="000000"/>
        </w:rPr>
      </w:pPr>
      <w:r>
        <w:rPr>
          <w:color w:val="000000"/>
        </w:rPr>
        <w:t>“</w:t>
      </w:r>
      <w:r>
        <w:rPr>
          <w:rFonts w:ascii="Times New Roman;serif" w:hAnsi="Times New Roman;serif"/>
          <w:b w:val="false"/>
          <w:color w:val="000000"/>
          <w:sz w:val="22"/>
        </w:rPr>
        <w:t>Capitalized Lease” of a Person means any lease of Property by such Person as lessee which would</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be capitalized on a balance sheet of such Person prepared in accordance with GAAP.</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Capitalized Lease Obligations” of a Person means the amount of the obligations of such Person under Capitalized Leases which would be shown as a liability on a balance sheet of such Person prepared in accordance with GAAP.</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Cash Collateralize” means to deposit in the Facility LC Collateral Account or to pledge and deposit with or deliver to the Administrative Agent, for the benefit of one or more of the LC Issuer or Lenders, as collateral for LC Obligations or obligations of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“Cash Collateral” shall have a meaning correlative to the foregoing and shall include the proceeds of such cash collateral and other credit support.</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Cash Dividends” means any dividend or other distribution paid in cash with respect to any Equity Interest in the Borrower or any Subsidiary, or any other payment made in cash, including any sinking fund or similar deposit, on account of the purchase, redemption, retirement, acquisition, cancellation or termination of any such Equity Interests in the Borrower or any Subsidiary thereof or any option, warrant or other right to acquire any such Equity Interest in the Borrower or any Subsidiary thereof.</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Cash Equivalent Investments” means (i) short-term obligations of, or fully guaranteed by, the United States of America, (ii) commercial paper rated A-1 or better by S&amp;P or P-1 or better by Moody’s,</w:t>
      </w:r>
    </w:p>
    <w:p>
      <w:pPr>
        <w:pStyle w:val="TextBody"/>
        <w:bidi w:val="0"/>
        <w:spacing w:lineRule="auto" w:line="288" w:before="1" w:after="283"/>
        <w:jc w:val="both"/>
        <w:rPr/>
      </w:pPr>
      <w:r>
        <w:rPr>
          <w:rFonts w:ascii="Times New Roman;serif" w:hAnsi="Times New Roman;serif"/>
          <w:b w:val="false"/>
          <w:color w:val="000000"/>
          <w:sz w:val="22"/>
        </w:rPr>
        <w:t xml:space="preserve">(i)demand deposit accounts maintained in the ordinary course of business, and (iv) certificates of deposit issued by and time deposits with commercial banks (whether domestic or foreign) having capital and surplus in excess of $500,000,000;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in each case that the same provides for payment of both principal and interest (and not principal alone or interest alone) and is not subject to any contingency regarding the payment of principal or interest.</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Cash Management Services” means any banking services that are provided to the Borrower or any Subsidiary by the Administrative Agent, the LC Issuer or any other Lender or any Affiliate of any of the foregoing (at the time such banking service is entered into), including without limitation: (a) credit cards,</w:t>
      </w:r>
    </w:p>
    <w:p>
      <w:pPr>
        <w:pStyle w:val="TextBody"/>
        <w:bidi w:val="0"/>
        <w:spacing w:lineRule="auto" w:line="280" w:before="0" w:after="0"/>
        <w:jc w:val="both"/>
        <w:rPr>
          <w:rFonts w:ascii="Times New Roman;serif" w:hAnsi="Times New Roman;serif"/>
          <w:b w:val="false"/>
          <w:color w:val="000000"/>
          <w:sz w:val="22"/>
        </w:rPr>
      </w:pPr>
      <w:r>
        <w:rPr>
          <w:rFonts w:ascii="Times New Roman;serif" w:hAnsi="Times New Roman;serif"/>
          <w:b w:val="false"/>
          <w:color w:val="000000"/>
          <w:sz w:val="22"/>
        </w:rPr>
        <w:t>(b) credit card processing services, (c) debit cards, (d) purchase cards, (e) stored value cards, (f) automated clearing house or wire transfer services, or (g) treasury management, including controlled disbursement, consolidated account, lockbox, overdraft, return items, sweep and interstate depository network services.</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98830"/>
                <wp:effectExtent l="0" t="0" r="0" b="0"/>
                <wp:wrapNone/>
                <wp:docPr id="17" name="Frame15"/>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Change in Control” means (i) the acquisition by any Person, or two or more Persons acting in concert, of beneficial ownership (within the meaning of Rule 13d-3 of the U.S. Securities and Exchange Commission under the Securities Exchange Act of 1934) directly or indirectly of 30% or more of the outstanding shares of voting stock of the Borrower on a fully diluted basis; or (ii) within any twelve-month period, occupation of a majority of the seats (other than vacant seats) on the board of directors of the</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98830"/>
                <wp:effectExtent l="0" t="0" r="0" b="0"/>
                <wp:wrapNone/>
                <wp:docPr id="18" name="Frame16"/>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left"/>
        <w:rPr>
          <w:rFonts w:ascii="Times New Roman;serif" w:hAnsi="Times New Roman;serif"/>
          <w:b w:val="false"/>
          <w:color w:val="000000"/>
          <w:sz w:val="22"/>
        </w:rPr>
      </w:pPr>
      <w:r>
        <w:rPr>
          <w:rFonts w:ascii="Times New Roman;serif" w:hAnsi="Times New Roman;serif"/>
          <w:b w:val="false"/>
          <w:color w:val="000000"/>
          <w:sz w:val="22"/>
        </w:rPr>
        <w:t>Borrower by Persons who were neither (x) nominated by the board of directors of the Borrower nor</w:t>
      </w:r>
    </w:p>
    <w:p>
      <w:pPr>
        <w:pStyle w:val="TextBody"/>
        <w:bidi w:val="0"/>
        <w:spacing w:lineRule="auto" w:line="288" w:before="1" w:after="283"/>
        <w:jc w:val="both"/>
        <w:rPr>
          <w:rFonts w:ascii="Times New Roman;serif" w:hAnsi="Times New Roman;serif"/>
          <w:b w:val="false"/>
          <w:color w:val="000000"/>
          <w:sz w:val="22"/>
        </w:rPr>
      </w:pPr>
      <w:r>
        <w:rPr>
          <w:rFonts w:ascii="Times New Roman;serif" w:hAnsi="Times New Roman;serif"/>
          <w:b w:val="false"/>
          <w:color w:val="000000"/>
          <w:sz w:val="22"/>
        </w:rPr>
        <w:t>(y) appointed or approved by directors so nominated.</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Change in Law” means the adoption of or change in any law, governmental or quasi-governmental rule, regulation, policy, guideline, interpretation, or directive (whether or not having the force of law) or in the interpretation, promulgation, implementation or administration thereof by any Governmental or quasi-Governmental Authority, central bank or comparable agency charged with the interpretation or administration thereof, including, notwithstanding the foregoing, all requests, rules, guidelines or directives</w:t>
      </w:r>
    </w:p>
    <w:p>
      <w:pPr>
        <w:pStyle w:val="TextBody"/>
        <w:bidi w:val="0"/>
        <w:spacing w:lineRule="atLeast" w:line="252" w:before="0" w:after="0"/>
        <w:jc w:val="both"/>
        <w:rPr>
          <w:rFonts w:ascii="Times New Roman;serif" w:hAnsi="Times New Roman;serif"/>
          <w:b w:val="false"/>
          <w:color w:val="000000"/>
          <w:sz w:val="22"/>
        </w:rPr>
      </w:pPr>
      <w:r>
        <w:rPr>
          <w:rFonts w:ascii="Times New Roman;serif" w:hAnsi="Times New Roman;serif"/>
          <w:b w:val="false"/>
          <w:color w:val="000000"/>
          <w:sz w:val="22"/>
        </w:rPr>
        <w:t>(x) in connection with the Dodd-Frank Wall Street Reform and Consumer Protection Act 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 promulgated by the Bank for International Settlements, the Basel Committee on Banking Supervision (or any successor or similar authority) or the United States financial regulatory authorities, in each case of clauses (x) and (y), regardless of the date enacted, adopted, issued, promulgated or implemented, or compliance by any Lender or applicable Lending Installation or the LC Issuer with any request or directive (whether or not having the force of law) of any such authority, central bank or comparable agency.</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China Facility Divestment” means the sale by the Borrower or one of its Subsidiaries of 100% of the capital stock of Gemstar Technology (China) Co. Ltd. for consideration of at least $45,000,000 on or before February 26, 2019.</w:t>
      </w:r>
    </w:p>
    <w:p>
      <w:pPr>
        <w:pStyle w:val="TextBody"/>
        <w:bidi w:val="0"/>
        <w:spacing w:lineRule="auto" w:line="288" w:before="244" w:after="283"/>
        <w:jc w:val="left"/>
        <w:rPr>
          <w:color w:val="000000"/>
        </w:rPr>
      </w:pPr>
      <w:r>
        <w:rPr>
          <w:color w:val="000000"/>
        </w:rPr>
        <w:t>“</w:t>
      </w:r>
      <w:r>
        <w:rPr>
          <w:rFonts w:ascii="Times New Roman;serif" w:hAnsi="Times New Roman;serif"/>
          <w:b w:val="false"/>
          <w:color w:val="000000"/>
          <w:sz w:val="22"/>
        </w:rPr>
        <w:t>Code” means the Internal Revenue Code of 1986.</w:t>
      </w:r>
    </w:p>
    <w:p>
      <w:pPr>
        <w:pStyle w:val="TextBody"/>
        <w:bidi w:val="0"/>
        <w:spacing w:lineRule="auto" w:line="280" w:before="237" w:after="283"/>
        <w:ind w:left="0" w:right="0" w:firstLine="719"/>
        <w:jc w:val="both"/>
        <w:rPr>
          <w:color w:val="000000"/>
        </w:rPr>
      </w:pPr>
      <w:r>
        <w:rPr>
          <w:color w:val="000000"/>
        </w:rPr>
        <w:t>“</w:t>
      </w:r>
      <w:r>
        <w:rPr>
          <w:rFonts w:ascii="Times New Roman;serif" w:hAnsi="Times New Roman;serif"/>
          <w:b w:val="false"/>
          <w:color w:val="000000"/>
          <w:sz w:val="22"/>
        </w:rPr>
        <w:t>Collateral” means any and all Property in which a security interest or Lien is or is required to be granted to secure the Obligations, and any and all other Property now existing or hereafter acquired that may be or become subject to a security interest or Lien to secure the Obligations.</w:t>
      </w:r>
    </w:p>
    <w:p>
      <w:pPr>
        <w:pStyle w:val="TextBody"/>
        <w:bidi w:val="0"/>
        <w:spacing w:lineRule="auto" w:line="288" w:before="232" w:after="283"/>
        <w:ind w:left="0" w:right="0" w:firstLine="719"/>
        <w:jc w:val="both"/>
        <w:rPr>
          <w:color w:val="000000"/>
        </w:rPr>
      </w:pPr>
      <w:r>
        <w:rPr>
          <w:color w:val="000000"/>
        </w:rPr>
        <w:t>“</w:t>
      </w:r>
      <w:r>
        <w:rPr>
          <w:rFonts w:ascii="Times New Roman;serif" w:hAnsi="Times New Roman;serif"/>
          <w:b w:val="false"/>
          <w:color w:val="000000"/>
          <w:sz w:val="22"/>
        </w:rPr>
        <w:t>Collateral Documents” means, collectively, the Security Agreement, the initial Guaranty executed by Universal Electronics BV, and all other agreements, instruments and documents that are intended to create, perfect or evidence Liens upon the Collateral as security for payment of the Obligations, including without limitation, all other security agreements, pledge agreements, financing statements, mortgages, assignments and deeds of trust, whether heretofore, now, or hereafter executed by the Loan Parties or any of their Subsidiaries and delivered to the Administrative Agent.</w:t>
      </w:r>
    </w:p>
    <w:p>
      <w:pPr>
        <w:pStyle w:val="TextBody"/>
        <w:bidi w:val="0"/>
        <w:spacing w:lineRule="auto" w:line="288" w:before="244" w:after="283"/>
        <w:jc w:val="left"/>
        <w:rPr>
          <w:color w:val="000000"/>
        </w:rPr>
      </w:pPr>
      <w:r>
        <w:rPr>
          <w:color w:val="000000"/>
        </w:rPr>
        <w:t>“</w:t>
      </w:r>
      <w:r>
        <w:rPr>
          <w:rFonts w:ascii="Times New Roman;serif" w:hAnsi="Times New Roman;serif"/>
          <w:b w:val="false"/>
          <w:color w:val="000000"/>
          <w:sz w:val="22"/>
        </w:rPr>
        <w:t>Collateral Shortfall Amount” is defined in Section 8.1(a).</w:t>
      </w:r>
    </w:p>
    <w:p>
      <w:pPr>
        <w:pStyle w:val="TextBody"/>
        <w:bidi w:val="0"/>
        <w:spacing w:lineRule="auto" w:line="540" w:before="239" w:after="283"/>
        <w:jc w:val="left"/>
        <w:rPr>
          <w:color w:val="000000"/>
        </w:rPr>
      </w:pPr>
      <w:r>
        <w:rPr>
          <w:color w:val="000000"/>
        </w:rPr>
        <w:t>“</w:t>
      </w:r>
      <w:r>
        <w:rPr>
          <w:rFonts w:ascii="Times New Roman;serif" w:hAnsi="Times New Roman;serif"/>
          <w:b w:val="false"/>
          <w:color w:val="000000"/>
          <w:sz w:val="22"/>
        </w:rPr>
        <w:t>Commodity Exchange Act” means the Commodity Exchange Act (7 U.S.C. §1 et seq.). “Compliance Certificate” is defined in Section 6.1(e).</w:t>
      </w:r>
    </w:p>
    <w:p>
      <w:pPr>
        <w:pStyle w:val="TextBody"/>
        <w:bidi w:val="0"/>
        <w:spacing w:lineRule="auto" w:line="288" w:before="3" w:after="283"/>
        <w:jc w:val="left"/>
        <w:rPr>
          <w:color w:val="000000"/>
        </w:rPr>
      </w:pPr>
      <w:r>
        <w:rPr>
          <w:color w:val="000000"/>
        </w:rPr>
        <w:t>“</w:t>
      </w:r>
      <w:r>
        <w:rPr>
          <w:rFonts w:ascii="Times New Roman;serif" w:hAnsi="Times New Roman;serif"/>
          <w:b w:val="false"/>
          <w:color w:val="000000"/>
          <w:sz w:val="22"/>
        </w:rPr>
        <w:t>Consolidated Capital Expenditures” means, with reference to any period, the Capital Expenditures</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of the Borrower and its Subsidiaries calculated on a consolidated basis for such period.</w:t>
      </w:r>
    </w:p>
    <w:p>
      <w:pPr>
        <w:pStyle w:val="TextBody"/>
        <w:bidi w:val="0"/>
        <w:spacing w:lineRule="auto" w:line="288" w:before="239" w:after="283"/>
        <w:jc w:val="left"/>
        <w:rPr>
          <w:color w:val="000000"/>
        </w:rPr>
      </w:pPr>
      <w:r>
        <w:rPr>
          <w:color w:val="000000"/>
        </w:rPr>
        <w:t>“</w:t>
      </w:r>
      <w:r>
        <w:rPr>
          <w:rFonts w:ascii="Times New Roman;serif" w:hAnsi="Times New Roman;serif"/>
          <w:b w:val="false"/>
          <w:color w:val="000000"/>
          <w:sz w:val="22"/>
        </w:rPr>
        <w:t>Consolidated Cash Flow Leverage Ratio” means, at any time, the ratio of (i) Consolidated Total</w:t>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Funded Debt, as of such date, to (ii) Consolidated EBITDA, as measured on a trailing 12-month basis.</w:t>
      </w:r>
    </w:p>
    <w:p>
      <w:pPr>
        <w:pStyle w:val="TextBody"/>
        <w:bidi w:val="0"/>
        <w:spacing w:lineRule="auto" w:line="288" w:before="240" w:after="283"/>
        <w:ind w:left="0" w:right="0" w:firstLine="719"/>
        <w:jc w:val="both"/>
        <w:rPr/>
      </w:pPr>
      <w:r>
        <w:rPr>
          <w:color w:val="000000"/>
        </w:rPr>
        <w:t>“</w:t>
      </w:r>
      <w:r>
        <w:rPr>
          <w:rFonts w:ascii="Times New Roman;serif" w:hAnsi="Times New Roman;serif"/>
          <w:b w:val="false"/>
          <w:color w:val="000000"/>
          <w:sz w:val="22"/>
        </w:rPr>
        <w:t xml:space="preserve">Consolidated EBITDA” means Consolidated Net Income </w:t>
      </w:r>
      <w:r>
        <w:rPr>
          <w:rFonts w:ascii="Times New Roman;serif" w:hAnsi="Times New Roman;serif"/>
          <w:b w:val="false"/>
          <w:i/>
          <w:color w:val="000000"/>
          <w:sz w:val="22"/>
        </w:rPr>
        <w:t>plus</w:t>
      </w:r>
      <w:r>
        <w:rPr>
          <w:rFonts w:ascii="Times New Roman;serif" w:hAnsi="Times New Roman;serif"/>
          <w:b w:val="false"/>
          <w:color w:val="000000"/>
          <w:sz w:val="22"/>
        </w:rPr>
        <w:t xml:space="preserve">, to the extent deducted from revenues in determining Consolidated Net Income and without duplication, (i) Consolidated Interest Expense, (ii) expense for taxes paid in cash or accrued, (iii) depreciation, (iv) amortization, (v) extraordinary expenses, charges or losses incurred other than in the ordinary course of business, (vi) non-cash expenses related to stock-based compensation, (vii) the actual amount of expenses incurred during the fiscal year ending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98830"/>
                <wp:effectExtent l="0" t="0" r="0" b="0"/>
                <wp:wrapNone/>
                <wp:docPr id="19" name="Frame17"/>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December 31, 2026 relating to a restructuring of Borrower’s operations up to a maximum amount of $4,000,000, (viii) the actual amount of expenses incurred during the fiscal year ending December</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98830"/>
                <wp:effectExtent l="0" t="0" r="0" b="0"/>
                <wp:wrapNone/>
                <wp:docPr id="20" name="Frame18"/>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tLeast" w:line="252" w:before="79" w:after="283"/>
        <w:jc w:val="both"/>
        <w:rPr>
          <w:rFonts w:ascii="Times New Roman;serif" w:hAnsi="Times New Roman;serif"/>
          <w:b w:val="false"/>
          <w:color w:val="000000"/>
          <w:sz w:val="22"/>
        </w:rPr>
      </w:pPr>
      <w:r>
        <w:rPr>
          <w:rFonts w:ascii="Times New Roman;serif" w:hAnsi="Times New Roman;serif"/>
          <w:b w:val="false"/>
          <w:color w:val="000000"/>
          <w:sz w:val="22"/>
        </w:rPr>
        <w:t>31, 2027 relating to a restructuring of Borrower’s operations up to a maximum amount of $2,000,000, and</w:t>
      </w:r>
    </w:p>
    <w:p>
      <w:pPr>
        <w:pStyle w:val="TextBody"/>
        <w:bidi w:val="0"/>
        <w:spacing w:lineRule="auto" w:line="288" w:before="0" w:after="0"/>
        <w:jc w:val="both"/>
        <w:rPr/>
      </w:pPr>
      <w:r>
        <w:rPr>
          <w:rFonts w:ascii="Times New Roman;serif" w:hAnsi="Times New Roman;serif"/>
          <w:b w:val="false"/>
          <w:color w:val="000000"/>
          <w:sz w:val="22"/>
        </w:rPr>
        <w:t xml:space="preserve">(ix) a loss incurred during the fiscal year ending December 31, 2025 attributable to Borrower’s abandonment of the lease on its idled office in Carlsbad, California up to a maximum amount of $1,300,000, and (x) other add-backs determined by Administrative Agent in its sole and absolute discretion, </w:t>
      </w:r>
      <w:r>
        <w:rPr>
          <w:rFonts w:ascii="Times New Roman;serif" w:hAnsi="Times New Roman;serif"/>
          <w:b w:val="false"/>
          <w:i/>
          <w:color w:val="000000"/>
          <w:sz w:val="22"/>
        </w:rPr>
        <w:t>minus</w:t>
      </w:r>
      <w:r>
        <w:rPr>
          <w:rFonts w:ascii="Times New Roman;serif" w:hAnsi="Times New Roman;serif"/>
          <w:b w:val="false"/>
          <w:color w:val="000000"/>
          <w:sz w:val="22"/>
        </w:rPr>
        <w:t>, to the extent included in Consolidated Net Income, (1) extraordinary income or gains realized other than in the ordinary course of business, (2) income tax credits and refunds (to the extent not netted from tax expense), and (3) any cash payments made during such period in respect of items described in clauses (v) or (vi) above subsequent to the fiscal quarter in which the relevant non-cash expenses, charges or losses were incurred, all calculated for the Borrower and its Subsidiaries on a consolidated basis.</w:t>
      </w:r>
    </w:p>
    <w:p>
      <w:pPr>
        <w:pStyle w:val="TextBody"/>
        <w:bidi w:val="0"/>
        <w:spacing w:lineRule="auto" w:line="288" w:before="241" w:after="283"/>
        <w:ind w:left="0" w:right="0" w:firstLine="719"/>
        <w:jc w:val="both"/>
        <w:rPr>
          <w:color w:val="000000"/>
        </w:rPr>
      </w:pPr>
      <w:r>
        <w:rPr>
          <w:color w:val="000000"/>
        </w:rPr>
        <w:t>“</w:t>
      </w:r>
      <w:r>
        <w:rPr>
          <w:rFonts w:ascii="Times New Roman;serif" w:hAnsi="Times New Roman;serif"/>
          <w:b w:val="false"/>
          <w:color w:val="000000"/>
          <w:sz w:val="22"/>
        </w:rPr>
        <w:t>Consolidated Fixed Charge Coverage Ratio” means, at any time, the ratio of (i) Consolidated EBITDA, plus Consolidated Rentals, minus Consolidated Maintenance Capital Expenditures, minus Cash Dividends, minus cash taxes to (ii) cash Consolidated Interest Expense, plus Consolidated Rentals, plus scheduled principal payments with respect to Consolidated Funded Indebtedness paid or payable in cash for such period, all calculated for the Borrower and its Subsidiaries on a consolidated basis.</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2"/>
        </w:rPr>
        <w:t>Consolidated Funded Indebtedness” means at any time the aggregate amount of Consolidated</w:t>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Indebtedness minus the undrawn face amount of commercial Letters of Credit.</w:t>
      </w:r>
    </w:p>
    <w:p>
      <w:pPr>
        <w:pStyle w:val="TextBody"/>
        <w:bidi w:val="0"/>
        <w:spacing w:lineRule="auto" w:line="288" w:before="239" w:after="283"/>
        <w:jc w:val="left"/>
        <w:rPr>
          <w:color w:val="000000"/>
        </w:rPr>
      </w:pPr>
      <w:r>
        <w:rPr>
          <w:color w:val="000000"/>
        </w:rPr>
        <w:t>“</w:t>
      </w:r>
      <w:r>
        <w:rPr>
          <w:rFonts w:ascii="Times New Roman;serif" w:hAnsi="Times New Roman;serif"/>
          <w:b w:val="false"/>
          <w:color w:val="000000"/>
          <w:sz w:val="22"/>
        </w:rPr>
        <w:t>Consolidated Indebtedness” means at any time the Indebtedness of the Borrower and its</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Subsidiaries calculated on a consolidated basis as of such time.</w:t>
      </w:r>
    </w:p>
    <w:p>
      <w:pPr>
        <w:pStyle w:val="TextBody"/>
        <w:bidi w:val="0"/>
        <w:spacing w:lineRule="auto" w:line="288" w:before="237" w:after="283"/>
        <w:ind w:left="0" w:right="0" w:firstLine="719"/>
        <w:jc w:val="both"/>
        <w:rPr>
          <w:color w:val="000000"/>
        </w:rPr>
      </w:pPr>
      <w:r>
        <w:rPr>
          <w:color w:val="000000"/>
        </w:rPr>
        <w:t>“</w:t>
      </w:r>
      <w:r>
        <w:rPr>
          <w:rFonts w:ascii="Times New Roman;serif" w:hAnsi="Times New Roman;serif"/>
          <w:b w:val="false"/>
          <w:color w:val="000000"/>
          <w:sz w:val="22"/>
        </w:rPr>
        <w:t>Consolidated Interest Expense” means, with reference to any period, the interest expense of the Borrower and its Subsidiaries calculated on a consolidated basis for such period. For the purposes of calculating Consolidated Interest Expense for any reference period, (i) if at any time during such reference period the Borrower or any Subsidiary shall have made any Material Disposition, the Consolidated Interest Expense for such reference period shall be reduced by an amount equal to the Consolidated Interest Expense (if positive) attributable to the Property that is the subject of such Material Disposition for such reference period, and (ii) if during such reference period the Borrower or any Subsidiary shall have made a Material Acquisition, Consolidated Interest Expense for such reference period shall be calculated after giving pro forma effect thereto on a basis approved by the Administrative Agent in its reasonable credit judgment as if such Material Acquisition occurred on the first day of such reference period.</w:t>
      </w:r>
    </w:p>
    <w:p>
      <w:pPr>
        <w:pStyle w:val="TextBody"/>
        <w:bidi w:val="0"/>
        <w:spacing w:lineRule="auto" w:line="280" w:before="240" w:after="283"/>
        <w:ind w:left="0" w:right="0" w:firstLine="719"/>
        <w:jc w:val="both"/>
        <w:rPr>
          <w:color w:val="000000"/>
        </w:rPr>
      </w:pPr>
      <w:r>
        <w:rPr>
          <w:color w:val="000000"/>
        </w:rPr>
        <w:t>“</w:t>
      </w:r>
      <w:r>
        <w:rPr>
          <w:rFonts w:ascii="Times New Roman;serif" w:hAnsi="Times New Roman;serif"/>
          <w:b w:val="false"/>
          <w:color w:val="000000"/>
          <w:sz w:val="22"/>
        </w:rPr>
        <w:t>Consolidated Liquidity” means, for any period of determination, the aggregate consolidated amount for the Borrower and its Restricted Subsidiaries, without duplication, of (a) cash and Cash Equivalent Investments, plus (b) the amount available to be borrowed as Revolving Loans under this Agreement.</w:t>
      </w:r>
    </w:p>
    <w:p>
      <w:pPr>
        <w:pStyle w:val="TextBody"/>
        <w:bidi w:val="0"/>
        <w:spacing w:lineRule="auto" w:line="280" w:before="231" w:after="283"/>
        <w:ind w:left="0" w:right="0" w:firstLine="719"/>
        <w:jc w:val="both"/>
        <w:rPr>
          <w:color w:val="000000"/>
        </w:rPr>
      </w:pPr>
      <w:r>
        <w:rPr>
          <w:color w:val="000000"/>
        </w:rPr>
        <w:t>“</w:t>
      </w:r>
      <w:r>
        <w:rPr>
          <w:rFonts w:ascii="Times New Roman;serif" w:hAnsi="Times New Roman;serif"/>
          <w:b w:val="false"/>
          <w:color w:val="000000"/>
          <w:sz w:val="22"/>
        </w:rPr>
        <w:t>Consolidated Maintenance Capital Expenditures” means, for any period of determination, on a consolidated basis and without duplication, 50% of the consolidated equipment depreciation expense of the Borrower, determined in accordance with GAAP.</w:t>
      </w:r>
    </w:p>
    <w:p>
      <w:pPr>
        <w:pStyle w:val="TextBody"/>
        <w:bidi w:val="0"/>
        <w:spacing w:lineRule="auto" w:line="288" w:before="232" w:after="283"/>
        <w:jc w:val="left"/>
        <w:rPr>
          <w:color w:val="000000"/>
        </w:rPr>
      </w:pPr>
      <w:r>
        <w:rPr>
          <w:color w:val="000000"/>
        </w:rPr>
        <w:t>“</w:t>
      </w:r>
      <w:r>
        <w:rPr>
          <w:rFonts w:ascii="Times New Roman;serif" w:hAnsi="Times New Roman;serif"/>
          <w:b w:val="false"/>
          <w:color w:val="000000"/>
          <w:sz w:val="22"/>
        </w:rPr>
        <w:t>Consolidated Net Income” means, with reference to any period, the net income (or loss) of the</w:t>
      </w:r>
    </w:p>
    <w:p>
      <w:pPr>
        <w:pStyle w:val="TextBody"/>
        <w:bidi w:val="0"/>
        <w:spacing w:lineRule="auto" w:line="288" w:before="4" w:after="283"/>
        <w:jc w:val="left"/>
        <w:rPr>
          <w:rFonts w:ascii="Times New Roman;serif" w:hAnsi="Times New Roman;serif"/>
          <w:b w:val="false"/>
          <w:color w:val="000000"/>
          <w:sz w:val="22"/>
        </w:rPr>
      </w:pPr>
      <w:r>
        <w:rPr>
          <w:rFonts w:ascii="Times New Roman;serif" w:hAnsi="Times New Roman;serif"/>
          <w:b w:val="false"/>
          <w:color w:val="000000"/>
          <w:sz w:val="22"/>
        </w:rPr>
        <w:t>Borrower and its Subsidiaries calculated on a consolidated basis for such period.</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 xml:space="preserve">Consolidated Rentals” means, with reference to any period, the Rentals of the Borrower and its Subsidiaries calculated on a consolidated basis for such period, minus, to the extent included in such Rentals, a non-cash charge incurred during the fiscal year ending December 31, 2025 attributable to Borrower’s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98830"/>
                <wp:effectExtent l="0" t="0" r="0" b="0"/>
                <wp:wrapNone/>
                <wp:docPr id="21" name="Frame19"/>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abandonment of its lease on its idled office in Carlsbad, California, up to a maximum amount of $1,300,000.00.</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98830"/>
                <wp:effectExtent l="0" t="0" r="0" b="0"/>
                <wp:wrapNone/>
                <wp:docPr id="22" name="Frame20"/>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tLeast" w:line="252" w:before="79" w:after="283"/>
        <w:jc w:val="right"/>
        <w:rPr>
          <w:color w:val="000000"/>
        </w:rPr>
      </w:pPr>
      <w:r>
        <w:rPr>
          <w:color w:val="000000"/>
        </w:rPr>
        <w:t>“</w:t>
      </w:r>
      <w:r>
        <w:rPr>
          <w:rFonts w:ascii="Times New Roman;serif" w:hAnsi="Times New Roman;serif"/>
          <w:b w:val="false"/>
          <w:color w:val="000000"/>
          <w:sz w:val="22"/>
        </w:rPr>
        <w:t>Consolidated Total Funded Debt” means, as of any date of determination, the consolidated</w:t>
      </w:r>
    </w:p>
    <w:p>
      <w:pPr>
        <w:pStyle w:val="TextBody"/>
        <w:bidi w:val="0"/>
        <w:spacing w:lineRule="atLeast" w:line="252" w:before="0" w:after="0"/>
        <w:jc w:val="right"/>
        <w:rPr>
          <w:rFonts w:ascii="Times New Roman;serif" w:hAnsi="Times New Roman;serif"/>
          <w:b w:val="false"/>
          <w:color w:val="000000"/>
          <w:sz w:val="22"/>
        </w:rPr>
      </w:pPr>
      <w:r>
        <w:rPr>
          <w:rFonts w:ascii="Times New Roman;serif" w:hAnsi="Times New Roman;serif"/>
          <w:b w:val="false"/>
          <w:color w:val="000000"/>
          <w:sz w:val="22"/>
        </w:rPr>
        <w:t>principal amount of (i) all Indebtedness of the Borrower and its Subsidiaries described in clauses (a) through</w:t>
      </w:r>
    </w:p>
    <w:p>
      <w:pPr>
        <w:pStyle w:val="TextBody"/>
        <w:bidi w:val="0"/>
        <w:spacing w:lineRule="auto" w:line="288" w:before="1" w:after="283"/>
        <w:jc w:val="both"/>
        <w:rPr>
          <w:rFonts w:ascii="Times New Roman;serif" w:hAnsi="Times New Roman;serif"/>
          <w:b w:val="false"/>
          <w:color w:val="000000"/>
          <w:sz w:val="22"/>
        </w:rPr>
      </w:pPr>
      <w:r>
        <w:rPr>
          <w:rFonts w:ascii="Times New Roman;serif" w:hAnsi="Times New Roman;serif"/>
          <w:b w:val="false"/>
          <w:color w:val="000000"/>
          <w:sz w:val="22"/>
        </w:rPr>
        <w:t>(g) of the definition of “Indebtedness” and (ii) any Contingent Obligations of the Borrower and its Subsidiaries related to clauses (a) through (g) of the definition of “Indebtedness”. Notwithstanding anything to the contrary in this Agreement, for purposes of calculating the Consolidated Cash Flow Leverage Ratio, Consolidated Total Funded Debt as it relates to clause (e) of the definition of “Indebtedness” shall exclude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 intercompany trade payables; provided that any such intercompany trade payables that are past due for more than 120 days shall only be excluded in an amount not to exceed $3,000,000 at any time and (ii) the long-term portion of any deferred or contingent consideration incurred in connection with an Acquisition; provided, however, no amount of any such long-term deferred or contingent consideration shall be excluded under this clause in excess of an aggregate deferred or contingent consideration of $20,000,000 at any time (including for these purposes, for the avoidance of doubt, the short-term portion of any such deferred or contingent considerations).</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Constituent Documents” means, with respect to any Person, as applicable, such Person’s certificate of incorporation, articles of incorporation, bylaws, certificate of formation, articles of organization, limited liability company agreement, management agreement, operating agreement, shareholder agreement, partnership agreement or similar document or agreement governing such Person’s existence, organization or management or concerning the disposition of Equity Interests of such Person or voting rights among such Person’s owners.</w:t>
      </w:r>
    </w:p>
    <w:p>
      <w:pPr>
        <w:pStyle w:val="TextBody"/>
        <w:bidi w:val="0"/>
        <w:spacing w:lineRule="auto" w:line="288" w:before="241" w:after="283"/>
        <w:ind w:left="0" w:right="0" w:firstLine="719"/>
        <w:jc w:val="both"/>
        <w:rPr>
          <w:color w:val="000000"/>
        </w:rPr>
      </w:pPr>
      <w:r>
        <w:rPr>
          <w:color w:val="000000"/>
        </w:rPr>
        <w:t>“</w:t>
      </w:r>
      <w:r>
        <w:rPr>
          <w:rFonts w:ascii="Times New Roman;serif" w:hAnsi="Times New Roman;serif"/>
          <w:b w:val="false"/>
          <w:color w:val="000000"/>
          <w:sz w:val="22"/>
        </w:rPr>
        <w:t>Contingent Obligation” of a Person means any agreement, undertaking or arrangement by which such Person assumes, guarantees, endorses, contingently agrees to purchase or provide funds for the payment of, or otherwise becomes or is contingently liable upon, the obligation or liability of any other Person, or agrees to maintain the net worth or working capital or other financial condition of any other Person, or otherwise assures any creditor of such other Person against loss, including, without limitation, any comfort letter, operating agreement, take-or-pay contract or the obligations of any such Person as general partner of a partnership with respect to the liabilities of the partnership; provided, that the term “Contingent Obligation” shall not include endorsements for collection or deposit, in each case in the ordinary course of business.</w:t>
      </w:r>
    </w:p>
    <w:p>
      <w:pPr>
        <w:pStyle w:val="TextBody"/>
        <w:bidi w:val="0"/>
        <w:spacing w:lineRule="auto" w:line="288" w:before="241" w:after="283"/>
        <w:jc w:val="both"/>
        <w:rPr>
          <w:color w:val="000000"/>
        </w:rPr>
      </w:pPr>
      <w:r>
        <w:rPr>
          <w:color w:val="000000"/>
        </w:rPr>
        <w:t>“</w:t>
      </w:r>
      <w:r>
        <w:rPr>
          <w:rFonts w:ascii="Times New Roman;serif" w:hAnsi="Times New Roman;serif"/>
          <w:b w:val="false"/>
          <w:color w:val="000000"/>
          <w:sz w:val="22"/>
        </w:rPr>
        <w:t>Conversion Notice” is defined in Section 2.9.</w:t>
      </w:r>
    </w:p>
    <w:p>
      <w:pPr>
        <w:pStyle w:val="TextBody"/>
        <w:bidi w:val="0"/>
        <w:spacing w:lineRule="auto" w:line="280" w:before="239" w:after="283"/>
        <w:ind w:left="0" w:right="0" w:firstLine="719"/>
        <w:jc w:val="both"/>
        <w:rPr>
          <w:color w:val="000000"/>
        </w:rPr>
      </w:pPr>
      <w:r>
        <w:rPr>
          <w:color w:val="000000"/>
        </w:rPr>
        <w:t>“</w:t>
      </w:r>
      <w:r>
        <w:rPr>
          <w:rFonts w:ascii="Times New Roman;serif" w:hAnsi="Times New Roman;serif"/>
          <w:b w:val="false"/>
          <w:color w:val="000000"/>
          <w:sz w:val="22"/>
        </w:rPr>
        <w:t>Corresponding Tenor” with respect to any Available Tenor means, as applicable, either a tenor (including overnight) or an interest payment period having approximately the same length (disregarding business day adjustment) as such Available Tenor.</w:t>
      </w:r>
    </w:p>
    <w:p>
      <w:pPr>
        <w:pStyle w:val="TextBody"/>
        <w:bidi w:val="0"/>
        <w:spacing w:lineRule="atLeast" w:line="490" w:before="48" w:after="283"/>
        <w:jc w:val="both"/>
        <w:rPr>
          <w:color w:val="000000"/>
        </w:rPr>
      </w:pPr>
      <w:r>
        <w:rPr>
          <w:color w:val="000000"/>
        </w:rPr>
        <w:t>“</w:t>
      </w:r>
      <w:r>
        <w:rPr>
          <w:rFonts w:ascii="Times New Roman;serif" w:hAnsi="Times New Roman;serif"/>
          <w:b w:val="false"/>
          <w:color w:val="000000"/>
          <w:sz w:val="22"/>
        </w:rPr>
        <w:t>Credit Extension” means the making of a Borrowing or the issuance of a Facility LC hereunder. “Daily Simple SOFR” means, for any day, an interest rate per annum equal to the greater of</w:t>
      </w:r>
    </w:p>
    <w:p>
      <w:pPr>
        <w:pStyle w:val="TextBody"/>
        <w:bidi w:val="0"/>
        <w:spacing w:lineRule="atLeast" w:line="203" w:before="0" w:after="0"/>
        <w:jc w:val="both"/>
        <w:rPr>
          <w:rFonts w:ascii="Times New Roman;serif" w:hAnsi="Times New Roman;serif"/>
          <w:b w:val="false"/>
          <w:color w:val="000000"/>
          <w:sz w:val="20"/>
        </w:rPr>
      </w:pPr>
      <w:r>
        <w:rPr>
          <w:rFonts w:ascii="Times New Roman;serif" w:hAnsi="Times New Roman;serif"/>
          <w:b w:val="false"/>
          <w:color w:val="000000"/>
          <w:sz w:val="20"/>
        </w:rPr>
        <w:t>(a) SOFR for the day that is five SOFR Business Days prior to (i) if such day is a SOFR Business Day, such</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day or (ii) if such day is not a SOFR Business Day, the SOFR Business Day immediately preceding such day, and (b) zero; provided that if SOFR is not published on such SOFR Business Day due to a holiday or other circumstance that the Administrative Agent deems in its sole discretion to be temporary, the applicable SOFR rate shall be the SOFR rate last published prior to such SOFR Business Day. Any change in Daily Simple SOFR due to a change in SOFR shall be effective from and including the effective date of such change in SOFR without notice to the Borrower. For purposes of determining any interest rate hereunder or under any Loan Document which is based on Daily Simple SOFR, such interest rate shall change as and when Daily Simple SOFR shall change.</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98830"/>
                <wp:effectExtent l="0" t="0" r="0" b="0"/>
                <wp:wrapNone/>
                <wp:docPr id="23" name="Frame21"/>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0" w:before="79" w:after="283"/>
        <w:ind w:left="0" w:right="0" w:firstLine="719"/>
        <w:jc w:val="both"/>
        <w:rPr/>
      </w:pPr>
      <w:r>
        <w:rPr>
          <w:color w:val="000000"/>
        </w:rPr>
        <w:t>“</w:t>
      </w:r>
      <w:r>
        <w:rPr>
          <w:rFonts w:ascii="Times New Roman;serif" w:hAnsi="Times New Roman;serif"/>
          <w:b w:val="false"/>
          <w:color w:val="000000"/>
          <w:sz w:val="22"/>
        </w:rPr>
        <w:t xml:space="preserve">Daily Simple SOFR Rate” means for any day, a rate per annum equal to (a) Daily Simple SOFR for such day </w:t>
      </w:r>
      <w:r>
        <w:rPr>
          <w:rFonts w:ascii="Times New Roman;serif" w:hAnsi="Times New Roman;serif"/>
          <w:b w:val="false"/>
          <w:i/>
          <w:color w:val="000000"/>
          <w:sz w:val="22"/>
        </w:rPr>
        <w:t xml:space="preserve">plus </w:t>
      </w:r>
      <w:r>
        <w:rPr>
          <w:rFonts w:ascii="Times New Roman;serif" w:hAnsi="Times New Roman;serif"/>
          <w:b w:val="false"/>
          <w:color w:val="000000"/>
          <w:sz w:val="22"/>
        </w:rPr>
        <w:t>(b) the Applicable Margin for such day, in each case changing when and as Daily Simple SOFR or the Applicable Margin changes.</w:t>
      </w:r>
    </w:p>
    <w:p>
      <w:pPr>
        <w:pStyle w:val="TextBody"/>
        <w:bidi w:val="0"/>
        <w:spacing w:lineRule="auto" w:line="288" w:before="232" w:after="283"/>
        <w:jc w:val="left"/>
        <w:rPr>
          <w:color w:val="000000"/>
        </w:rPr>
      </w:pPr>
      <w:r>
        <w:rPr>
          <w:color w:val="000000"/>
        </w:rPr>
        <w:t>“</w:t>
      </w:r>
      <w:r>
        <w:rPr>
          <w:rFonts w:ascii="Times New Roman;serif" w:hAnsi="Times New Roman;serif"/>
          <w:b w:val="false"/>
          <w:color w:val="000000"/>
          <w:sz w:val="22"/>
        </w:rPr>
        <w:t>Default” means an event which but for the lapse of time or the giving of notice, or both, would</w:t>
      </w:r>
    </w:p>
    <w:p>
      <w:pPr>
        <w:pStyle w:val="TextBody"/>
        <w:bidi w:val="0"/>
        <w:spacing w:lineRule="auto" w:line="288" w:before="3" w:after="283"/>
        <w:jc w:val="left"/>
        <w:rPr>
          <w:rFonts w:ascii="Times New Roman;serif" w:hAnsi="Times New Roman;serif"/>
          <w:b w:val="false"/>
          <w:color w:val="000000"/>
          <w:sz w:val="22"/>
        </w:rPr>
      </w:pPr>
      <w:r>
        <w:rPr>
          <w:rFonts w:ascii="Times New Roman;serif" w:hAnsi="Times New Roman;serif"/>
          <w:b w:val="false"/>
          <w:color w:val="000000"/>
          <w:sz w:val="22"/>
        </w:rPr>
        <w:t>constitute an Event of Default.</w:t>
      </w:r>
    </w:p>
    <w:p>
      <w:pPr>
        <w:pStyle w:val="TextBody"/>
        <w:bidi w:val="0"/>
        <w:spacing w:lineRule="auto" w:line="288" w:before="237" w:after="283"/>
        <w:ind w:left="0" w:right="0" w:firstLine="719"/>
        <w:jc w:val="both"/>
        <w:rPr>
          <w:color w:val="000000"/>
        </w:rPr>
      </w:pPr>
      <w:r>
        <w:rPr>
          <w:color w:val="000000"/>
        </w:rPr>
        <w:t>“</w:t>
      </w:r>
      <w:r>
        <w:rPr>
          <w:rFonts w:ascii="Times New Roman;serif" w:hAnsi="Times New Roman;serif"/>
          <w:b w:val="false"/>
          <w:color w:val="000000"/>
          <w:sz w:val="22"/>
        </w:rPr>
        <w:t>Defaulting Lender” means, subject to Section 2.22(b), any Lender that (a) has failed to (i) fund all or any portion of its Loans within two (2) Business Days after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waived, or (ii) pay to the Administrative Agent, the LC Issuer, the Swing Line Lender or any other Lender any other amount required to be paid by it hereunder (including in respect of its participation in Facility LCs or Swing Line Loans) within two (2) Business Days after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w:t>
      </w:r>
    </w:p>
    <w:p>
      <w:pPr>
        <w:pStyle w:val="TextBody"/>
        <w:bidi w:val="0"/>
        <w:spacing w:lineRule="auto" w:line="288" w:before="1" w:after="283"/>
        <w:jc w:val="both"/>
        <w:rPr/>
      </w:pPr>
      <w:r>
        <w:rPr>
          <w:rFonts w:ascii="Times New Roman;serif" w:hAnsi="Times New Roman;serif"/>
          <w:b w:val="false"/>
          <w:color w:val="000000"/>
          <w:sz w:val="22"/>
        </w:rPr>
        <w:t>(3) Business Days after written request by the Administrative Agent or the Borrower, to confirm in writing to the Administrative Agent and the Borrower that it will comply with its prospective funding obligations hereunder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 xml:space="preserve">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(other than an Undisclosed Administration), including the Federal Deposit Insurance Corporation or any other state or federal regulatory authority acting in such a capacity, or (iii) become the subject of a Bail-In Action;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above shall be conclusive and binding absent manifest error, and such Lender shall be deemed to be a Defaulting Lender (subject to Section 2.22(b)) upon delivery of written notice of such determination to the Borrower, the LC Issuer, the Swing Line Lender and each Lender.</w:t>
      </w:r>
    </w:p>
    <w:p>
      <w:pPr>
        <w:pStyle w:val="TextBody"/>
        <w:bidi w:val="0"/>
        <w:spacing w:lineRule="auto" w:line="288" w:before="241" w:after="283"/>
        <w:jc w:val="left"/>
        <w:rPr>
          <w:color w:val="000000"/>
        </w:rPr>
      </w:pPr>
      <w:r>
        <w:rPr>
          <w:color w:val="000000"/>
        </w:rPr>
        <w:t>“</w:t>
      </w:r>
      <w:r>
        <w:rPr>
          <w:rFonts w:ascii="Times New Roman;serif" w:hAnsi="Times New Roman;serif"/>
          <w:b w:val="false"/>
          <w:color w:val="000000"/>
          <w:sz w:val="22"/>
        </w:rPr>
        <w:t>Deposits” is defined in Section 11.1.</w:t>
      </w:r>
    </w:p>
    <w:p>
      <w:pPr>
        <w:pStyle w:val="TextBody"/>
        <w:bidi w:val="0"/>
        <w:spacing w:lineRule="auto" w:line="288" w:before="242" w:after="283"/>
        <w:jc w:val="left"/>
        <w:rPr>
          <w:color w:val="000000"/>
        </w:rPr>
      </w:pPr>
      <w:r>
        <w:rPr>
          <w:color w:val="000000"/>
        </w:rPr>
        <w:t>“</w:t>
      </w:r>
      <w:r>
        <w:rPr>
          <w:rFonts w:ascii="Times New Roman;serif" w:hAnsi="Times New Roman;serif"/>
          <w:b w:val="false"/>
          <w:color w:val="000000"/>
          <w:sz w:val="22"/>
        </w:rPr>
        <w:t>Dollar” and “$” means the lawful currency of the United States of America.</w:t>
      </w:r>
    </w:p>
    <w:p>
      <w:pPr>
        <w:pStyle w:val="TextBody"/>
        <w:bidi w:val="0"/>
        <w:spacing w:lineRule="auto" w:line="288" w:before="237" w:after="283"/>
        <w:jc w:val="left"/>
        <w:rPr>
          <w:color w:val="000000"/>
        </w:rPr>
      </w:pPr>
      <w:r>
        <w:rPr>
          <w:color w:val="000000"/>
        </w:rPr>
        <w:t>“</w:t>
      </w:r>
      <w:r>
        <w:rPr>
          <w:rFonts w:ascii="Times New Roman;serif" w:hAnsi="Times New Roman;serif"/>
          <w:b w:val="false"/>
          <w:color w:val="000000"/>
          <w:sz w:val="22"/>
        </w:rPr>
        <w:t>Domestic Subsidiary” means a Subsidiary of the Borrower incorporated or organized under the</w:t>
      </w:r>
    </w:p>
    <w:p>
      <w:pPr>
        <w:pStyle w:val="TextBody"/>
        <w:bidi w:val="0"/>
        <w:spacing w:lineRule="auto" w:line="288" w:before="4" w:after="283"/>
        <w:jc w:val="left"/>
        <w:rPr>
          <w:rFonts w:ascii="Times New Roman;serif" w:hAnsi="Times New Roman;serif"/>
          <w:b w:val="false"/>
          <w:color w:val="000000"/>
          <w:sz w:val="22"/>
        </w:rPr>
      </w:pPr>
      <w:r>
        <w:rPr>
          <w:rFonts w:ascii="Times New Roman;serif" w:hAnsi="Times New Roman;serif"/>
          <w:b w:val="false"/>
          <w:color w:val="000000"/>
          <w:sz w:val="22"/>
        </w:rPr>
        <w:t>laws of the United States of America, any state thereof or the District of Columbia.</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98830"/>
                <wp:effectExtent l="0" t="0" r="0" b="0"/>
                <wp:wrapNone/>
                <wp:docPr id="24" name="Frame22"/>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98830"/>
                <wp:effectExtent l="0" t="0" r="0" b="0"/>
                <wp:wrapNone/>
                <wp:docPr id="25" name="Frame23"/>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0" w:before="79" w:after="283"/>
        <w:jc w:val="both"/>
        <w:rPr>
          <w:rFonts w:ascii="Times New Roman;serif" w:hAnsi="Times New Roman;serif"/>
          <w:b w:val="false"/>
          <w:color w:val="000000"/>
          <w:sz w:val="22"/>
        </w:rPr>
      </w:pPr>
      <w:r>
        <w:rPr>
          <w:rFonts w:ascii="Times New Roman;serif" w:hAnsi="Times New Roman;serif"/>
          <w:b w:val="false"/>
          <w:color w:val="000000"/>
          <w:sz w:val="22"/>
        </w:rPr>
        <w:t>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232" w:after="283"/>
        <w:jc w:val="left"/>
        <w:rPr>
          <w:color w:val="000000"/>
        </w:rPr>
      </w:pPr>
      <w:r>
        <w:rPr>
          <w:color w:val="000000"/>
        </w:rPr>
        <w:t>“</w:t>
      </w:r>
      <w:r>
        <w:rPr>
          <w:rFonts w:ascii="Times New Roman;serif" w:hAnsi="Times New Roman;serif"/>
          <w:b w:val="false"/>
          <w:color w:val="000000"/>
          <w:sz w:val="22"/>
        </w:rPr>
        <w:t>EEA Member Country” means any of the member states of the European Union, Iceland,</w:t>
      </w:r>
    </w:p>
    <w:p>
      <w:pPr>
        <w:pStyle w:val="TextBody"/>
        <w:bidi w:val="0"/>
        <w:spacing w:lineRule="auto" w:line="288" w:before="3" w:after="283"/>
        <w:jc w:val="both"/>
        <w:rPr>
          <w:rFonts w:ascii="Times New Roman;serif" w:hAnsi="Times New Roman;serif"/>
          <w:b w:val="false"/>
          <w:color w:val="000000"/>
          <w:sz w:val="22"/>
        </w:rPr>
      </w:pPr>
      <w:r>
        <w:rPr>
          <w:rFonts w:ascii="Times New Roman;serif" w:hAnsi="Times New Roman;serif"/>
          <w:b w:val="false"/>
          <w:color w:val="000000"/>
          <w:sz w:val="22"/>
        </w:rPr>
        <w:t>Liechtenstein, and Norway.</w:t>
      </w:r>
    </w:p>
    <w:p>
      <w:pPr>
        <w:pStyle w:val="TextBody"/>
        <w:bidi w:val="0"/>
        <w:spacing w:lineRule="auto" w:line="280" w:before="237" w:after="283"/>
        <w:ind w:left="0" w:right="0" w:firstLine="719"/>
        <w:jc w:val="both"/>
        <w:rPr>
          <w:color w:val="000000"/>
        </w:rPr>
      </w:pPr>
      <w:r>
        <w:rPr>
          <w:color w:val="000000"/>
        </w:rPr>
        <w:t>“</w:t>
      </w:r>
      <w:r>
        <w:rPr>
          <w:rFonts w:ascii="Times New Roman;serif" w:hAnsi="Times New Roman;serif"/>
          <w:b w:val="false"/>
          <w:color w:val="000000"/>
          <w:sz w:val="22"/>
        </w:rPr>
        <w:t>EEA Resolution Authority”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234" w:after="283"/>
        <w:jc w:val="left"/>
        <w:rPr>
          <w:color w:val="000000"/>
        </w:rPr>
      </w:pPr>
      <w:r>
        <w:rPr>
          <w:color w:val="000000"/>
        </w:rPr>
        <w:t>“</w:t>
      </w:r>
      <w:r>
        <w:rPr>
          <w:rFonts w:ascii="Times New Roman;serif" w:hAnsi="Times New Roman;serif"/>
          <w:b w:val="false"/>
          <w:color w:val="000000"/>
          <w:sz w:val="22"/>
        </w:rPr>
        <w:t>Effective Date” means the date on which the conditions specified in Section 4.1 are satisfied.</w:t>
      </w:r>
    </w:p>
    <w:p>
      <w:pPr>
        <w:pStyle w:val="TextBody"/>
        <w:bidi w:val="0"/>
        <w:spacing w:lineRule="atLeast" w:line="253" w:before="239" w:after="283"/>
        <w:jc w:val="both"/>
        <w:rPr>
          <w:color w:val="000000"/>
        </w:rPr>
      </w:pPr>
      <w:r>
        <w:rPr>
          <w:color w:val="000000"/>
        </w:rPr>
        <w:t>“</w:t>
      </w:r>
      <w:r>
        <w:rPr>
          <w:rFonts w:ascii="Times New Roman;serif" w:hAnsi="Times New Roman;serif"/>
          <w:b w:val="false"/>
          <w:color w:val="000000"/>
          <w:sz w:val="22"/>
        </w:rPr>
        <w:t>Eligible Assignee” means (a) a Lender; (b) an Affiliate of a Lender; (c) an Approved Fund; and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any other Person except a natural Person (or holding company, investment vehicle or trust for, or owned and operated for the primary benefit of a natural Person), the Borrower, any of the Borrower’s Affiliates or Subsidiaries or any Defaulting Lender or any of its Subsidiaries, which has been approved by</w:t>
      </w:r>
    </w:p>
    <w:p>
      <w:pPr>
        <w:pStyle w:val="TextBody"/>
        <w:bidi w:val="0"/>
        <w:spacing w:lineRule="auto" w:line="288" w:before="2" w:after="283"/>
        <w:jc w:val="both"/>
        <w:rPr>
          <w:rFonts w:ascii="Times New Roman;serif" w:hAnsi="Times New Roman;serif"/>
          <w:b w:val="false"/>
          <w:color w:val="000000"/>
          <w:sz w:val="22"/>
        </w:rPr>
      </w:pPr>
      <w:r>
        <w:rPr>
          <w:rFonts w:ascii="Times New Roman;serif" w:hAnsi="Times New Roman;serif"/>
          <w:b w:val="false"/>
          <w:color w:val="000000"/>
          <w:sz w:val="22"/>
        </w:rPr>
        <w:t>(i) Administrative Agent, and (ii) unless an Event of Default has occurred and is continuing, Borrower.</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Environmental Laws” means any and all federal, state, local and foreign statutes, laws, judicial decisions, regulations, ordinances, rules, judgments, orders, decrees, plans, injunctions, permits, concessions, grants, franchises, licenses, agreements and other governmental restrictions relating to (i) the protection of the environment, (ii) personal injury or property damage relating to the release or discharge of Hazardous Materials, (iii) emissions, discharges or releases of pollutants, contaminants, hazardous substances or wastes into surface water, ground water or land, or (iv) the manufacture, processing, distribution, use, treatment, storage, disposal, transport or handling of pollutants, contaminants, hazardous substances or wastes or the clean-up or other remediation thereof.</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Equity Interests” means all shares, interests or other equivalents, however designated, of or in a corporation, limited liability company, or partnership, whether or not voting, including but not limited to common stock, member interests, partnership interests, warrants, preferred stock, convertible debentures, and all agreements, instruments and documents convertible, in whole or in part, into any one or more or all of the foregoing.</w:t>
      </w:r>
    </w:p>
    <w:p>
      <w:pPr>
        <w:pStyle w:val="TextBody"/>
        <w:bidi w:val="0"/>
        <w:spacing w:lineRule="auto" w:line="288" w:before="242" w:after="283"/>
        <w:jc w:val="left"/>
        <w:rPr>
          <w:color w:val="000000"/>
        </w:rPr>
      </w:pPr>
      <w:r>
        <w:rPr>
          <w:color w:val="000000"/>
        </w:rPr>
        <w:t>“</w:t>
      </w:r>
      <w:r>
        <w:rPr>
          <w:rFonts w:ascii="Times New Roman;serif" w:hAnsi="Times New Roman;serif"/>
          <w:b w:val="false"/>
          <w:color w:val="000000"/>
          <w:sz w:val="22"/>
        </w:rPr>
        <w:t>ERISA” means the Employee Retirement Income Security Act of 1974.</w:t>
      </w:r>
    </w:p>
    <w:p>
      <w:pPr>
        <w:pStyle w:val="TextBody"/>
        <w:bidi w:val="0"/>
        <w:spacing w:lineRule="auto" w:line="280" w:before="237" w:after="283"/>
        <w:ind w:left="0" w:right="0" w:firstLine="719"/>
        <w:jc w:val="both"/>
        <w:rPr>
          <w:color w:val="000000"/>
        </w:rPr>
      </w:pPr>
      <w:r>
        <w:rPr>
          <w:color w:val="000000"/>
        </w:rPr>
        <w:t>“</w:t>
      </w:r>
      <w:r>
        <w:rPr>
          <w:rFonts w:ascii="Times New Roman;serif" w:hAnsi="Times New Roman;serif"/>
          <w:b w:val="false"/>
          <w:color w:val="000000"/>
          <w:sz w:val="22"/>
        </w:rPr>
        <w:t>ERISA Affiliate”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ERISA Event” means (a) any “reportable event”, as defined in Section 4043 of ERISA or the regulations issued thereunder with respect to a Plan (other than an event for which the 30-day notice period is waived); (b) the failure with respect to any Plan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98830"/>
                <wp:effectExtent l="0" t="0" r="0" b="0"/>
                <wp:wrapNone/>
                <wp:docPr id="26" name="Frame24"/>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under Section 4201 of ERISA or a determination that a Multiemployer Plan is, or is expected to be, insolvent, within the meaning of Title IV of ERISA.</w:t>
      </w:r>
    </w:p>
    <w:p>
      <w:pPr>
        <w:pStyle w:val="TextBody"/>
        <w:bidi w:val="0"/>
        <w:spacing w:lineRule="auto" w:line="288" w:before="242" w:after="283"/>
        <w:jc w:val="left"/>
        <w:rPr>
          <w:color w:val="000000"/>
        </w:rPr>
      </w:pPr>
      <w:r>
        <w:rPr>
          <w:color w:val="000000"/>
        </w:rPr>
        <w:t>“</w:t>
      </w:r>
      <w:r>
        <w:rPr>
          <w:rFonts w:ascii="Times New Roman;serif" w:hAnsi="Times New Roman;serif"/>
          <w:b w:val="false"/>
          <w:color w:val="000000"/>
          <w:sz w:val="22"/>
        </w:rPr>
        <w:t>EU” means the European Union.</w:t>
      </w:r>
    </w:p>
    <w:p>
      <w:pPr>
        <w:pStyle w:val="TextBody"/>
        <w:bidi w:val="0"/>
        <w:spacing w:lineRule="auto" w:line="283" w:before="237" w:after="283"/>
        <w:ind w:left="0" w:right="0" w:firstLine="719"/>
        <w:jc w:val="both"/>
        <w:rPr>
          <w:color w:val="000000"/>
        </w:rPr>
      </w:pPr>
      <w:r>
        <w:rPr>
          <w:color w:val="000000"/>
        </w:rPr>
        <w:t>“</w:t>
      </w:r>
      <w:r>
        <w:rPr>
          <w:rFonts w:ascii="Times New Roman;serif" w:hAnsi="Times New Roman;serif"/>
          <w:b w:val="false"/>
          <w:color w:val="000000"/>
          <w:sz w:val="22"/>
        </w:rPr>
        <w:t>EU Bail-In Legislation Schedule” means the EU Bail-In Legislation Schedule published by the Loan Market Association (or any successor person), as in effect from time to time.</w:t>
      </w:r>
    </w:p>
    <w:p>
      <w:pPr>
        <w:pStyle w:val="TextBody"/>
        <w:bidi w:val="0"/>
        <w:spacing w:lineRule="auto" w:line="288" w:before="232" w:after="283"/>
        <w:jc w:val="left"/>
        <w:rPr>
          <w:color w:val="000000"/>
        </w:rPr>
      </w:pPr>
      <w:r>
        <w:rPr>
          <w:color w:val="000000"/>
        </w:rPr>
        <w:t>“</w:t>
      </w:r>
      <w:r>
        <w:rPr>
          <w:rFonts w:ascii="Times New Roman;serif" w:hAnsi="Times New Roman;serif"/>
          <w:b w:val="false"/>
          <w:color w:val="000000"/>
          <w:sz w:val="22"/>
        </w:rPr>
        <w:t>Event of Default” is defined in Article VII.</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Excluded Swap Obligation” means, with respect to any Guarantor, any Swap Obligation with respect to a Lender-Provided Swap if, and only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including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Excluded Taxes” means, in the case of each Lender or applicable Lending Installation, the LC Issuer, and the Administrative Agent, (i) Taxes imposed on its overall net income, franchise Taxes, gross receipts or revenue and branch profits Taxes imposed on it, by the respective jurisdiction under the laws of which such Lender, the LC Issuer or the Administrative Agent is incorporated or is organized or is doing business or in which its principal executive office is located or, in the case of a Lender, in which such Lender’s applicable Lending Installation is located or is doing business, (ii) in the case of a Non-U.S. Lender, any U.S. federal withholding Tax that is imposed on amounts payable to such Non-U.S. Lender pursuant to the laws in effect at the time such Non-U.S. Lender becomes a party to this Agreement or designates a new Lending Installation, except in each case to the extent that, pursuant to Section 3.5(a), amounts with respect to such Taxes were payable either to such Lender’s assignor immediately before such Lender became a party hereto or to such Lender immediately before it changed its Lending Installation, or is attributable to the Non-U.S. Lender’s failure to comply with Section 3.5(f), and (iii) any U.S. federal withholding Taxes imposed by FATCA.</w:t>
      </w:r>
    </w:p>
    <w:p>
      <w:pPr>
        <w:pStyle w:val="TextBody"/>
        <w:bidi w:val="0"/>
        <w:spacing w:lineRule="auto" w:line="542" w:before="242" w:after="283"/>
        <w:jc w:val="both"/>
        <w:rPr>
          <w:color w:val="000000"/>
        </w:rPr>
      </w:pPr>
      <w:r>
        <w:rPr>
          <w:color w:val="000000"/>
        </w:rPr>
        <w:t>“</w:t>
      </w:r>
      <w:r>
        <w:rPr>
          <w:rFonts w:ascii="Times New Roman;serif" w:hAnsi="Times New Roman;serif"/>
          <w:b w:val="false"/>
          <w:color w:val="000000"/>
          <w:sz w:val="22"/>
        </w:rPr>
        <w:t>Exhibit” refers to an exhibit to this Agreement, unless another document is specifically referenced. “Facility LC” is defined in Section 2.19(a).</w: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Facility LC Application” is defined in Section 2.19(c).</w:t>
      </w:r>
    </w:p>
    <w:p>
      <w:pPr>
        <w:pStyle w:val="TextBody"/>
        <w:bidi w:val="0"/>
        <w:spacing w:lineRule="auto" w:line="288" w:before="242" w:after="283"/>
        <w:jc w:val="both"/>
        <w:rPr>
          <w:color w:val="000000"/>
        </w:rPr>
      </w:pPr>
      <w:r>
        <w:rPr>
          <w:color w:val="000000"/>
        </w:rPr>
        <w:t>“</w:t>
      </w:r>
      <w:r>
        <w:rPr>
          <w:rFonts w:ascii="Times New Roman;serif" w:hAnsi="Times New Roman;serif"/>
          <w:b w:val="false"/>
          <w:color w:val="000000"/>
          <w:sz w:val="22"/>
        </w:rPr>
        <w:t>Facility LC Collateral Account” is defined in Section 2.19(k).</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Facility Termination Date” means September 30, 2027 or any earlier date on which the Aggregate Revolving Commitment is reduced to zero or otherwise terminated pursuant to the terms hereof.</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98830"/>
                <wp:effectExtent l="0" t="0" r="0" b="0"/>
                <wp:wrapNone/>
                <wp:docPr id="27" name="Frame25"/>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19"/>
        <w:jc w:val="both"/>
        <w:rPr>
          <w:color w:val="000000"/>
        </w:rPr>
      </w:pPr>
      <w:r>
        <w:rPr>
          <w:color w:val="000000"/>
        </w:rPr>
        <w:t>“</w:t>
      </w:r>
      <w:r>
        <w:rPr>
          <w:rFonts w:ascii="Times New Roman;serif" w:hAnsi="Times New Roman;serif"/>
          <w:b w:val="false"/>
          <w:color w:val="000000"/>
          <w:sz w:val="22"/>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Federal Funds Effective Rate” means, for any day, the greater of (a) zero and (b)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or, if such rate is not so published for any day which is a Business Day, the average of the quotations at approximately 10:00 a.m. (Central time) on such day on such transactions received by the Administrative Agent from three federal funds brokers of recognized standing selected by the Administrative Agent in its sole discretion.</w:t>
      </w:r>
    </w:p>
    <w:p>
      <w:pPr>
        <w:pStyle w:val="TextBody"/>
        <w:bidi w:val="0"/>
        <w:spacing w:lineRule="auto" w:line="288" w:before="242" w:after="283"/>
        <w:ind w:left="0" w:right="0" w:firstLine="719"/>
        <w:jc w:val="both"/>
        <w:rPr>
          <w:color w:val="000000"/>
        </w:rPr>
      </w:pPr>
      <w:r>
        <w:rPr>
          <w:color w:val="000000"/>
        </w:rPr>
        <w:t>“</w:t>
      </w:r>
      <w:r>
        <w:rPr>
          <w:rFonts w:ascii="Times New Roman;serif" w:hAnsi="Times New Roman;serif"/>
          <w:b w:val="false"/>
          <w:color w:val="000000"/>
          <w:sz w:val="22"/>
        </w:rPr>
        <w:t>Foreign Currency Hedging Agreement” means any foreign currency swap, exchange, cap, collar, floor, forward, future or option agreement, or any other similar hedging arrangement, between the Borrower or any Restricted Subsidiary, as the case may be, and the Administrative Agent or any Lender, provided that such agreements are entered into by such Person in the ordinary course of its business and not for purposes of speculation.</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2"/>
        </w:rPr>
        <w:t>Foreign Subsidiary” means any Subsidiary organized under the laws of a jurisdiction not located</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in the United States of America.</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Fronting Exposure” means, at any time there is a Defaulting Lender, (a) with respect to the LC Issuer, such Defaulting Lender’s ratable share of the LC Obligations with respect to Facility LCs issued by the LC Issuer other than LC Obligations as to which such Defaulting Lender’s participation obligation has been reallocated to other Lenders or Cash Collateralized in accordance with the terms hereof, and (b) with respect to the Swing Line Lender, such Defaulting Lender’s ratable share of outstanding Swing Line Loans made by the Swing Line Lender other than Swing Line Loans as to which such Defaulting Lender’s participation obligation has been reallocated to other Lenders.</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Fund” means any Person (other than a natural person) that is (or will be) engaged in making, purchasing, holding or otherwise investing in commercial loans and similar extensions of credit in the ordinary course of its business.</w:t>
      </w:r>
    </w:p>
    <w:p>
      <w:pPr>
        <w:pStyle w:val="TextBody"/>
        <w:bidi w:val="0"/>
        <w:spacing w:lineRule="auto" w:line="288" w:before="242" w:after="283"/>
        <w:ind w:left="0" w:right="0" w:firstLine="719"/>
        <w:jc w:val="both"/>
        <w:rPr>
          <w:color w:val="000000"/>
        </w:rPr>
      </w:pPr>
      <w:r>
        <w:rPr>
          <w:color w:val="000000"/>
        </w:rPr>
        <w:t>“</w:t>
      </w:r>
      <w:r>
        <w:rPr>
          <w:rFonts w:ascii="Times New Roman;serif" w:hAnsi="Times New Roman;serif"/>
          <w:b w:val="false"/>
          <w:color w:val="000000"/>
          <w:sz w:val="22"/>
        </w:rPr>
        <w:t>GAAP” means generally accepted accounting principles as in effect from time to time in the United States, applied in a manner consistent with that used in preparing the financial statements referred to in Section 5.5, subject at all times to Section 9.8.</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 xml:space="preserve">Governmental Authority”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98830"/>
                <wp:effectExtent l="0" t="0" r="0" b="0"/>
                <wp:wrapNone/>
                <wp:docPr id="28" name="Frame26"/>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Basel Committee on Banking Supervisory Practices or any successor or similar authority to any of the foregoing).</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98830"/>
                <wp:effectExtent l="0" t="0" r="0" b="0"/>
                <wp:wrapNone/>
                <wp:docPr id="29" name="Frame27"/>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19"/>
        <w:jc w:val="both"/>
        <w:rPr>
          <w:color w:val="000000"/>
        </w:rPr>
      </w:pPr>
      <w:r>
        <w:rPr>
          <w:color w:val="000000"/>
        </w:rPr>
        <w:t>“</w:t>
      </w:r>
      <w:r>
        <w:rPr>
          <w:rFonts w:ascii="Times New Roman;serif" w:hAnsi="Times New Roman;serif"/>
          <w:b w:val="false"/>
          <w:color w:val="000000"/>
          <w:sz w:val="22"/>
        </w:rPr>
        <w:t>Guaranty” means, collectively, that certain Continuing Guaranty dated as of October 25, 2021, executed by Universal Electronics BV in favor of the Administrative Agent, as the same may be amended, restated, or otherwise modified from time to time and any other guaranty executed by a Loan Party in favor of the Administrative Agent pursuant to Section 6.22, or otherwise.</w:t>
      </w:r>
    </w:p>
    <w:p>
      <w:pPr>
        <w:pStyle w:val="TextBody"/>
        <w:bidi w:val="0"/>
        <w:spacing w:lineRule="auto" w:line="288" w:before="241" w:after="283"/>
        <w:ind w:left="0" w:right="0" w:firstLine="719"/>
        <w:jc w:val="both"/>
        <w:rPr>
          <w:color w:val="000000"/>
        </w:rPr>
      </w:pPr>
      <w:r>
        <w:rPr>
          <w:color w:val="000000"/>
        </w:rPr>
        <w:t>“</w:t>
      </w:r>
      <w:r>
        <w:rPr>
          <w:rFonts w:ascii="Times New Roman;serif" w:hAnsi="Times New Roman;serif"/>
          <w:b w:val="false"/>
          <w:color w:val="000000"/>
          <w:sz w:val="22"/>
        </w:rPr>
        <w:t>Guarantor” means, collectively, Universal Electronics BV and any other Loan Party that executes a guaranty in favor of the Administrative Agent pursuant to Section 6.22, or otherwise.</w:t>
      </w:r>
    </w:p>
    <w:p>
      <w:pPr>
        <w:pStyle w:val="TextBody"/>
        <w:bidi w:val="0"/>
        <w:spacing w:lineRule="auto" w:line="280" w:before="238" w:after="283"/>
        <w:ind w:left="0" w:right="0" w:firstLine="719"/>
        <w:jc w:val="both"/>
        <w:rPr>
          <w:color w:val="000000"/>
        </w:rPr>
      </w:pPr>
      <w:r>
        <w:rPr>
          <w:color w:val="000000"/>
        </w:rPr>
        <w:t>“</w:t>
      </w:r>
      <w:r>
        <w:rPr>
          <w:rFonts w:ascii="Times New Roman;serif" w:hAnsi="Times New Roman;serif"/>
          <w:b w:val="false"/>
          <w:color w:val="000000"/>
          <w:sz w:val="22"/>
        </w:rPr>
        <w:t>Hazardous Material” means any explosive or radioactive substances or wastes, any hazardous or toxic substances, wastes or other pollutants, including petroleum or petroleum distillates, asbestos or asbestos containing materials, polychlorinated biphenyls, radon gas, infectious or medical wastes and any other substances or wastes of any nature regulated pursuant to any Environmental Law.</w:t>
      </w:r>
    </w:p>
    <w:p>
      <w:pPr>
        <w:pStyle w:val="TextBody"/>
        <w:bidi w:val="0"/>
        <w:spacing w:lineRule="auto" w:line="280" w:before="230" w:after="283"/>
        <w:ind w:left="0" w:right="0" w:firstLine="719"/>
        <w:jc w:val="both"/>
        <w:rPr>
          <w:color w:val="000000"/>
        </w:rPr>
      </w:pPr>
      <w:r>
        <w:rPr>
          <w:color w:val="000000"/>
        </w:rPr>
        <w:t>“</w:t>
      </w:r>
      <w:r>
        <w:rPr>
          <w:rFonts w:ascii="Times New Roman;serif" w:hAnsi="Times New Roman;serif"/>
          <w:b w:val="false"/>
          <w:color w:val="000000"/>
          <w:sz w:val="22"/>
        </w:rPr>
        <w:t>Highest Lawful Rate” means, on any day, the maximum non-usurious rate of interest permitted for that day by applicable federal or state law stated as a rate per annum.</w:t>
      </w:r>
    </w:p>
    <w:p>
      <w:pPr>
        <w:pStyle w:val="TextBody"/>
        <w:bidi w:val="0"/>
        <w:spacing w:lineRule="auto" w:line="288" w:before="236" w:after="283"/>
        <w:ind w:left="0" w:right="0" w:firstLine="719"/>
        <w:jc w:val="both"/>
        <w:rPr>
          <w:color w:val="000000"/>
        </w:rPr>
      </w:pPr>
      <w:r>
        <w:rPr>
          <w:color w:val="000000"/>
        </w:rPr>
        <w:t>“</w:t>
      </w:r>
      <w:r>
        <w:rPr>
          <w:rFonts w:ascii="Times New Roman;serif" w:hAnsi="Times New Roman;serif"/>
          <w:b w:val="false"/>
          <w:color w:val="000000"/>
          <w:sz w:val="22"/>
        </w:rPr>
        <w:t>Indebtedness” means, with respect to any Person at the time of any determination, without duplication, all obligations of such Person that should be classified upon the balance sheet of such Person as liabilities, but in any event including: (a) all obligations of such Person for borrowed money (including non-recourse obligations and the Obligations under this Agreement and the other Loan Documents), (b) all obligations of such Person evidenced by bonds, debentures, notes, or other similar instruments, (c) all obligations of such Person upon which interest charges are customarily paid or accrued, (d) all obligations of such Person under conditional sale or other title retention agreements relating to property purchased by such Person, (e) all obligations of such Person issued or assumed as the deferred purchase price of property or services (including any deferred or contingent consideration payable in connection with Acquisitions), but excluding trade payables incurred in the ordinary course of business that are not more than 120 days past due, (f) all obligations of others secured by any Lien on property owned or acquired by such Person, whether or not the obligations secured thereby have been assumed, (g) all Capitalized Lease Obligations of such Person, (h) for purposes of Section 6.11 only, all obligations of such Person in respect of interest rate swap agreements, cap or collar agreements, interest rate futures or option contracts, currency swap agreements, currency futures or option agreements, and other similar contracts, (i) all obligations of such Person, actual or contingent, as an account party in respect of letters of credit or bankers’ acceptances, (j) all obligations of any partnership or joint venture as to which such Person is or may become personally liable,</w:t>
      </w:r>
    </w:p>
    <w:p>
      <w:pPr>
        <w:pStyle w:val="TextBody"/>
        <w:bidi w:val="0"/>
        <w:spacing w:lineRule="auto" w:line="288" w:before="1" w:after="283"/>
        <w:jc w:val="both"/>
        <w:rPr>
          <w:rFonts w:ascii="Times New Roman;serif" w:hAnsi="Times New Roman;serif"/>
          <w:b w:val="false"/>
          <w:color w:val="000000"/>
          <w:sz w:val="22"/>
        </w:rPr>
      </w:pPr>
      <w:r>
        <w:rPr>
          <w:rFonts w:ascii="Times New Roman;serif" w:hAnsi="Times New Roman;serif"/>
          <w:b w:val="false"/>
          <w:color w:val="000000"/>
          <w:sz w:val="22"/>
        </w:rPr>
        <w:t>(k) all obligations of such Person under any Equity Interests issued by such Person, and (l) all Contingent Obligations of such Person.</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Indemnified Taxes” means Taxes imposed on or with respect to any payment made by or on account of any obligation of any Loan Party under any Loan Document, other than Excluded Taxes and Other Taxes.</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Interest Payment Date” means as to any SOFR Loan, the last Business Day of each calendar month and the Facility Termination Date; provided that if any such day is not a Business Day, the Interest Payment Date shall be the immediately succeeding Business Day unless such succeeding Business Day falls in a new calendar month, in which case, the Interest Payment Date shall be the immediately preceding Business Day.</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 xml:space="preserve">Investment” of a Person means (a) any loan, advance (other than commission, travel and similar Borrowings to officers and employees made in the ordinary course of business), extension of credit (other than accounts receivable arising in the ordinary course of business on terms customary in the trade) or contribution of capital by such Person; (b) Equity Interests, bonds, mutual funds, notes, debentures or other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98830"/>
                <wp:effectExtent l="0" t="0" r="0" b="0"/>
                <wp:wrapNone/>
                <wp:docPr id="30" name="Frame28"/>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securities (including warrants or options to purchase securities) owned by such Person; (c) any certificate of deposit owned by such Person; and (d) structured notes, derivative financial instruments and other similar</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98830"/>
                <wp:effectExtent l="0" t="0" r="0" b="0"/>
                <wp:wrapNone/>
                <wp:docPr id="31" name="Frame29"/>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0" w:before="79" w:after="283"/>
        <w:jc w:val="both"/>
        <w:rPr>
          <w:rFonts w:ascii="Times New Roman;serif" w:hAnsi="Times New Roman;serif"/>
          <w:b w:val="false"/>
          <w:color w:val="000000"/>
          <w:sz w:val="22"/>
        </w:rPr>
      </w:pPr>
      <w:r>
        <w:rPr>
          <w:rFonts w:ascii="Times New Roman;serif" w:hAnsi="Times New Roman;serif"/>
          <w:b w:val="false"/>
          <w:color w:val="000000"/>
          <w:sz w:val="22"/>
        </w:rPr>
        <w:t>instruments or contracts owned by such Person. The amount of any Investment shall be the original cost of such Investment plus the cost of all additions thereto, without any adjustments for increases or decreases in value or write-ups, write-downs, or write-offs with respect to such Investment.</w:t>
      </w:r>
    </w:p>
    <w:p>
      <w:pPr>
        <w:pStyle w:val="TextBody"/>
        <w:bidi w:val="0"/>
        <w:spacing w:lineRule="auto" w:line="288" w:before="232" w:after="283"/>
        <w:ind w:left="0" w:right="0" w:firstLine="719"/>
        <w:jc w:val="both"/>
        <w:rPr>
          <w:color w:val="000000"/>
        </w:rPr>
      </w:pPr>
      <w:r>
        <w:rPr>
          <w:color w:val="000000"/>
        </w:rPr>
        <w:t>“</w:t>
      </w:r>
      <w:r>
        <w:rPr>
          <w:rFonts w:ascii="Times New Roman;serif" w:hAnsi="Times New Roman;serif"/>
          <w:b w:val="false"/>
          <w:color w:val="000000"/>
          <w:sz w:val="22"/>
        </w:rPr>
        <w:t>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lineRule="auto" w:line="288" w:before="243" w:after="283"/>
        <w:jc w:val="left"/>
        <w:rPr>
          <w:color w:val="000000"/>
        </w:rPr>
      </w:pPr>
      <w:r>
        <w:rPr>
          <w:color w:val="000000"/>
        </w:rPr>
        <w:t>“</w:t>
      </w:r>
      <w:r>
        <w:rPr>
          <w:rFonts w:ascii="Times New Roman;serif" w:hAnsi="Times New Roman;serif"/>
          <w:b w:val="false"/>
          <w:color w:val="000000"/>
          <w:sz w:val="22"/>
        </w:rPr>
        <w:t>LC Fee” is defined in Section 2.19(d).</w:t>
      </w:r>
    </w:p>
    <w:p>
      <w:pPr>
        <w:pStyle w:val="TextBody"/>
        <w:bidi w:val="0"/>
        <w:spacing w:lineRule="auto" w:line="288" w:before="236" w:after="283"/>
        <w:jc w:val="left"/>
        <w:rPr>
          <w:color w:val="000000"/>
        </w:rPr>
      </w:pPr>
      <w:r>
        <w:rPr>
          <w:color w:val="000000"/>
        </w:rPr>
        <w:t>“</w:t>
      </w:r>
      <w:r>
        <w:rPr>
          <w:rFonts w:ascii="Times New Roman;serif" w:hAnsi="Times New Roman;serif"/>
          <w:b w:val="false"/>
          <w:color w:val="000000"/>
          <w:sz w:val="22"/>
        </w:rPr>
        <w:t>LC Issuer” means U.S. Bank (or any subsidiary or affiliate of U.S. Bank designated by U.S. Bank)</w:t>
      </w:r>
    </w:p>
    <w:p>
      <w:pPr>
        <w:pStyle w:val="TextBody"/>
        <w:bidi w:val="0"/>
        <w:spacing w:lineRule="auto" w:line="288" w:before="4" w:after="283"/>
        <w:jc w:val="both"/>
        <w:rPr>
          <w:rFonts w:ascii="Times New Roman;serif" w:hAnsi="Times New Roman;serif"/>
          <w:b w:val="false"/>
          <w:color w:val="000000"/>
          <w:sz w:val="22"/>
        </w:rPr>
      </w:pPr>
      <w:r>
        <w:rPr>
          <w:rFonts w:ascii="Times New Roman;serif" w:hAnsi="Times New Roman;serif"/>
          <w:b w:val="false"/>
          <w:color w:val="000000"/>
          <w:sz w:val="22"/>
        </w:rPr>
        <w:t>in its capacity as issuer of Facility LCs hereunder.</w:t>
      </w:r>
    </w:p>
    <w:p>
      <w:pPr>
        <w:pStyle w:val="TextBody"/>
        <w:bidi w:val="0"/>
        <w:spacing w:lineRule="auto" w:line="280" w:before="238" w:after="283"/>
        <w:ind w:left="0" w:right="0" w:firstLine="719"/>
        <w:jc w:val="both"/>
        <w:rPr>
          <w:color w:val="000000"/>
        </w:rPr>
      </w:pPr>
      <w:r>
        <w:rPr>
          <w:color w:val="000000"/>
        </w:rPr>
        <w:t>“</w:t>
      </w:r>
      <w:r>
        <w:rPr>
          <w:rFonts w:ascii="Times New Roman;serif" w:hAnsi="Times New Roman;serif"/>
          <w:b w:val="false"/>
          <w:color w:val="000000"/>
          <w:sz w:val="22"/>
        </w:rPr>
        <w:t>LC Obligations” means, at any time, the sum, without duplication, of (i) the aggregate undrawn stated amount under all Facility LCs outstanding at such time plus (ii) the aggregate unpaid amount at such time of all Reimbursement Obligations.</w:t>
      </w:r>
    </w:p>
    <w:p>
      <w:pPr>
        <w:pStyle w:val="TextBody"/>
        <w:bidi w:val="0"/>
        <w:spacing w:lineRule="auto" w:line="288" w:before="234" w:after="283"/>
        <w:jc w:val="left"/>
        <w:rPr>
          <w:color w:val="000000"/>
        </w:rPr>
      </w:pPr>
      <w:r>
        <w:rPr>
          <w:color w:val="000000"/>
        </w:rPr>
        <w:t>“</w:t>
      </w:r>
      <w:r>
        <w:rPr>
          <w:rFonts w:ascii="Times New Roman;serif" w:hAnsi="Times New Roman;serif"/>
          <w:b w:val="false"/>
          <w:color w:val="000000"/>
          <w:sz w:val="22"/>
        </w:rPr>
        <w:t>LC Payment Date” is defined in Section 2.19(e).</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Lender-Provided Swap” means a Swap which is provided to the Borrower or any Subsidiary by the Administrative Agent or any Lender to the extent that such Swap is in existence on the Effective Date or the counterparty is the Administrative Agent or a Lender at the time such Swap is entered into (whether or not such Person ceases to be a Lender).</w:t>
      </w:r>
    </w:p>
    <w:p>
      <w:pPr>
        <w:pStyle w:val="TextBody"/>
        <w:bidi w:val="0"/>
        <w:spacing w:lineRule="auto" w:line="288" w:before="238" w:after="283"/>
        <w:ind w:left="0" w:right="0" w:firstLine="719"/>
        <w:jc w:val="both"/>
        <w:rPr>
          <w:color w:val="000000"/>
        </w:rPr>
      </w:pPr>
      <w:r>
        <w:rPr>
          <w:color w:val="000000"/>
        </w:rPr>
        <w:t>“</w:t>
      </w:r>
      <w:r>
        <w:rPr>
          <w:rFonts w:ascii="Times New Roman;serif" w:hAnsi="Times New Roman;serif"/>
          <w:b w:val="false"/>
          <w:color w:val="000000"/>
          <w:sz w:val="22"/>
        </w:rPr>
        <w:t>Lenders” means the lending institutions listed on the signature pages of this Agreement and their respective successors and assigns. Unless otherwise specified, the term “Lenders” includes U.S. Bank in its capacity as Swing Line Lender.</w:t>
      </w:r>
    </w:p>
    <w:p>
      <w:pPr>
        <w:pStyle w:val="TextBody"/>
        <w:bidi w:val="0"/>
        <w:spacing w:lineRule="auto" w:line="288" w:before="243" w:after="283"/>
        <w:ind w:left="0" w:right="0" w:firstLine="719"/>
        <w:jc w:val="both"/>
        <w:rPr>
          <w:color w:val="000000"/>
        </w:rPr>
      </w:pPr>
      <w:r>
        <w:rPr>
          <w:color w:val="000000"/>
        </w:rPr>
        <w:t>“</w:t>
      </w:r>
      <w:r>
        <w:rPr>
          <w:rFonts w:ascii="Times New Roman;serif" w:hAnsi="Times New Roman;serif"/>
          <w:b w:val="false"/>
          <w:color w:val="000000"/>
          <w:sz w:val="22"/>
        </w:rPr>
        <w:t>Lending Installation” means, with respect to a Lender or the Administrative Agent, the office, branch, subsidiary or affiliate of such Lender or the Administrative Agent listed on the signature pages hereof (in the case of the Administrative Agent) or on its Administrative Questionnaire (in the case of a Lender) or otherwise selected by such Lender or the Administrative Agent pursuant to Section 2.17.</w:t>
      </w:r>
    </w:p>
    <w:p>
      <w:pPr>
        <w:pStyle w:val="TextBody"/>
        <w:bidi w:val="0"/>
        <w:spacing w:lineRule="auto" w:line="288" w:before="238" w:after="283"/>
        <w:jc w:val="left"/>
        <w:rPr>
          <w:color w:val="000000"/>
        </w:rPr>
      </w:pPr>
      <w:r>
        <w:rPr>
          <w:color w:val="000000"/>
        </w:rPr>
        <w:t>“</w:t>
      </w:r>
      <w:r>
        <w:rPr>
          <w:rFonts w:ascii="Times New Roman;serif" w:hAnsi="Times New Roman;serif"/>
          <w:b w:val="false"/>
          <w:color w:val="000000"/>
          <w:sz w:val="22"/>
        </w:rPr>
        <w:t>Letter of Credit” means a letter of credit or similar instrument which is issued upon the application</w:t>
      </w:r>
    </w:p>
    <w:p>
      <w:pPr>
        <w:pStyle w:val="TextBody"/>
        <w:bidi w:val="0"/>
        <w:spacing w:lineRule="auto" w:line="288" w:before="4" w:after="283"/>
        <w:jc w:val="both"/>
        <w:rPr>
          <w:rFonts w:ascii="Times New Roman;serif" w:hAnsi="Times New Roman;serif"/>
          <w:b w:val="false"/>
          <w:color w:val="000000"/>
          <w:sz w:val="22"/>
        </w:rPr>
      </w:pPr>
      <w:r>
        <w:rPr>
          <w:rFonts w:ascii="Times New Roman;serif" w:hAnsi="Times New Roman;serif"/>
          <w:b w:val="false"/>
          <w:color w:val="000000"/>
          <w:sz w:val="22"/>
        </w:rPr>
        <w:t>of a Person or upon which a Person is an account party or for which a Person is in any way liable.</w:t>
      </w:r>
    </w:p>
    <w:p>
      <w:pPr>
        <w:pStyle w:val="TextBody"/>
        <w:bidi w:val="0"/>
        <w:spacing w:lineRule="auto" w:line="288" w:before="239" w:after="283"/>
        <w:jc w:val="left"/>
        <w:rPr>
          <w:color w:val="000000"/>
        </w:rPr>
      </w:pPr>
      <w:r>
        <w:rPr>
          <w:color w:val="000000"/>
        </w:rPr>
        <w:t>“</w:t>
      </w:r>
      <w:r>
        <w:rPr>
          <w:rFonts w:ascii="Times New Roman;serif" w:hAnsi="Times New Roman;serif"/>
          <w:b w:val="false"/>
          <w:color w:val="000000"/>
          <w:sz w:val="22"/>
        </w:rPr>
        <w:t>LIBOR” means the London interbank offered rate.</w:t>
      </w:r>
    </w:p>
    <w:p>
      <w:pPr>
        <w:pStyle w:val="TextBody"/>
        <w:bidi w:val="0"/>
        <w:spacing w:lineRule="auto" w:line="280" w:before="237" w:after="283"/>
        <w:ind w:left="0" w:right="0" w:firstLine="719"/>
        <w:jc w:val="both"/>
        <w:rPr>
          <w:color w:val="000000"/>
        </w:rPr>
      </w:pPr>
      <w:r>
        <w:rPr>
          <w:color w:val="000000"/>
        </w:rPr>
        <w:t>“</w:t>
      </w:r>
      <w:r>
        <w:rPr>
          <w:rFonts w:ascii="Times New Roman;serif" w:hAnsi="Times New Roman;serif"/>
          <w:b w:val="false"/>
          <w:color w:val="000000"/>
          <w:sz w:val="22"/>
        </w:rPr>
        <w:t>Lien” means any lien (statutory or other), mortgage, pledge, hypothecation, assignment, encumbrance or other security agreement of any kind or nature whatsoever (including, without limitation, the interest of a vendor or lessor under any conditional sale, Capitalized Lease or other title retention agreement).</w:t>
      </w:r>
    </w:p>
    <w:p>
      <w:pPr>
        <w:pStyle w:val="TextBody"/>
        <w:bidi w:val="0"/>
        <w:spacing w:lineRule="auto" w:line="288" w:before="233" w:after="283"/>
        <w:jc w:val="left"/>
        <w:rPr>
          <w:color w:val="000000"/>
        </w:rPr>
      </w:pPr>
      <w:r>
        <w:rPr>
          <w:color w:val="000000"/>
        </w:rPr>
        <w:t>“</w:t>
      </w:r>
      <w:r>
        <w:rPr>
          <w:rFonts w:ascii="Times New Roman;serif" w:hAnsi="Times New Roman;serif"/>
          <w:b w:val="false"/>
          <w:color w:val="000000"/>
          <w:sz w:val="22"/>
        </w:rPr>
        <w:t>Loan” means a Revolving Loan or a Swing Line Loan.</w:t>
      </w:r>
    </w:p>
    <w:p>
      <w:pPr>
        <w:pStyle w:val="TextBody"/>
        <w:bidi w:val="0"/>
        <w:spacing w:lineRule="auto" w:line="280" w:before="240" w:after="283"/>
        <w:ind w:left="0" w:right="0" w:firstLine="719"/>
        <w:jc w:val="both"/>
        <w:rPr>
          <w:color w:val="000000"/>
        </w:rPr>
      </w:pPr>
      <w:r>
        <w:rPr>
          <w:color w:val="000000"/>
        </w:rPr>
        <w:t>“</w:t>
      </w:r>
      <w:r>
        <w:rPr>
          <w:rFonts w:ascii="Times New Roman;serif" w:hAnsi="Times New Roman;serif"/>
          <w:b w:val="false"/>
          <w:color w:val="000000"/>
          <w:sz w:val="22"/>
        </w:rPr>
        <w:t>Loan Documents” means this Agreement, the Facility LC Applications, the Collateral Documents, any guarantee, any Note or Notes executed by the Borrower in connection with this Agreement and payable to a Lender, and any other document or agreement, now or in the future, executed by the Borrower for the benefit of the Administrative Agent or any Lender in connection with this Agreement.</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98830"/>
                <wp:effectExtent l="0" t="0" r="0" b="0"/>
                <wp:wrapNone/>
                <wp:docPr id="32" name="Frame30"/>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left"/>
        <w:rPr>
          <w:color w:val="000000"/>
        </w:rPr>
      </w:pPr>
      <w:r>
        <w:rPr>
          <w:color w:val="000000"/>
        </w:rPr>
        <w:t>“</w:t>
      </w:r>
      <w:r>
        <w:rPr>
          <w:rFonts w:ascii="Times New Roman;serif" w:hAnsi="Times New Roman;serif"/>
          <w:b w:val="false"/>
          <w:color w:val="000000"/>
          <w:sz w:val="22"/>
        </w:rPr>
        <w:t>Loan Party” or “Loan Parties” means, individually or collectively, the Borrower and the</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Guarantors.</w:t>
      </w:r>
    </w:p>
    <w:p>
      <w:pPr>
        <w:pStyle w:val="TextBody"/>
        <w:bidi w:val="0"/>
        <w:spacing w:lineRule="auto" w:line="288" w:before="239" w:after="283"/>
        <w:jc w:val="left"/>
        <w:rPr>
          <w:color w:val="000000"/>
        </w:rPr>
      </w:pPr>
      <w:r>
        <w:rPr>
          <w:color w:val="000000"/>
        </w:rPr>
        <w:t>“</w:t>
      </w:r>
      <w:r>
        <w:rPr>
          <w:rFonts w:ascii="Times New Roman;serif" w:hAnsi="Times New Roman;serif"/>
          <w:b w:val="false"/>
          <w:color w:val="000000"/>
          <w:sz w:val="22"/>
        </w:rPr>
        <w:t>Material Acquisition” means any Permitted Acquisition that involves the payment of</w:t>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consideration by the Borrower and its Subsidiaries in excess of $10,000,000.</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Material Adverse Effect” means a material adverse effect on (i) the financial condition or operations of the Borrower and its Subsidiaries taken as a whole, (ii) the ability of the Borrower or any Guarantor to perform its obligations under the Loan Documents to which it is a party, or (iii) the validity or enforceability of any of the Loan Documents or the rights or remedies of the Administrative Agent, the LC Issuer or the Lenders under the Loan Documents.</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Material Disposition” means any sale, transfer or disposition of Property or series of related sales, transfers, or dispositions of Property (other than inventory in the ordinary course of business) that yields gross proceeds to the Borrower or any of its Subsidiaries in excess of 5% of the Borrower’s total consolidated assets; however, notwithstanding the foregoing, “Material Disposition” shall not include the China Facility Divestment.</w:t>
      </w:r>
    </w:p>
    <w:p>
      <w:pPr>
        <w:pStyle w:val="TextBody"/>
        <w:bidi w:val="0"/>
        <w:spacing w:lineRule="auto" w:line="288" w:before="240" w:after="283"/>
        <w:ind w:left="0" w:right="0" w:firstLine="719"/>
        <w:jc w:val="both"/>
        <w:rPr/>
      </w:pPr>
      <w:r>
        <w:rPr>
          <w:color w:val="000000"/>
        </w:rPr>
        <w:t>“</w:t>
      </w:r>
      <w:r>
        <w:rPr>
          <w:rFonts w:ascii="Times New Roman;serif" w:hAnsi="Times New Roman;serif"/>
          <w:b w:val="false"/>
          <w:color w:val="000000"/>
          <w:sz w:val="22"/>
        </w:rPr>
        <w:t xml:space="preserve">Material Domestic Subsidiary” means each Domestic Subsidiary (i) which, as of the most recent fiscal quarter of the Borrower, for the period of four (4) consecutive fiscal quarters then ended, for which financial statements have been delivered pursuant to Section 6.1, contributed greater than 5.0% of the Borrower’s Consolidated EBITDA for such period or (ii) which had consolidated assets greater than 5.0% of the Borrower’s total consolidated assets as of such date;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if at any time the aggregate amount contributed to the Consolidated EBITDA by all Subsidiaries that are not Material Domestic Subsidiaries exceeds 10.0% of the Borrower’s Consolidated EBITDA for any such period, or the aggregate total consolidated assets of all Subsidiaries that are not Material Domestic Subsidiaries exceeds 10.0% of the Borrower’s total consolidated assets as of the end of any such fiscal quarter, the Borrower (or, in the event the Borrower has failed to do so within ten (10) days, the Administrative Agent) shall designate sufficient Subsidiaries as “Material Domestic Subsidiaries” to eliminate such excess, and such designated Subsidiaries shall for all purposes of this Agreement constitute Material Domestic Subsidiaries.</w:t>
      </w:r>
    </w:p>
    <w:p>
      <w:pPr>
        <w:pStyle w:val="TextBody"/>
        <w:bidi w:val="0"/>
        <w:spacing w:lineRule="auto" w:line="288" w:before="241" w:after="283"/>
        <w:ind w:left="0" w:right="0" w:firstLine="719"/>
        <w:jc w:val="both"/>
        <w:rPr>
          <w:color w:val="000000"/>
        </w:rPr>
      </w:pPr>
      <w:r>
        <w:rPr>
          <w:color w:val="000000"/>
        </w:rPr>
        <w:t>“</w:t>
      </w:r>
      <w:r>
        <w:rPr>
          <w:rFonts w:ascii="Times New Roman;serif" w:hAnsi="Times New Roman;serif"/>
          <w:b w:val="false"/>
          <w:color w:val="000000"/>
          <w:sz w:val="22"/>
        </w:rPr>
        <w:t>Material Indebtedness” means Indebtedness of the Borrower or any Subsidiary in an outstanding principal amount of $1,000,000 or more in the aggregate (or the equivalent thereof in any currency other than Dollars).</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Material Indebtedness Agreement” means any agreement under which any Material Indebtedness was created or is governed or which provides for the incurrence of Indebtedness in an amount which would constitute Material Indebtedness (whether or not an amount of Indebtedness constituting Material Indebtedness is outstanding thereunder).</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Minimum Collateral Amount” means, with respect to a Defaulting Lender, at any time, (i) with respect to Cash Collateral consisting of cash or deposit account balances, an amount equal to 105% of the Fronting Exposure of the LC Issuer with respect to such Defaulting Lender for all Facility LCs issued and outstanding at such time and (ii) otherwise, an amount determined by the Administrative Agent and the LC Issuer in their sole discretion.</w:t>
      </w:r>
    </w:p>
    <w:p>
      <w:pPr>
        <w:pStyle w:val="TextBody"/>
        <w:bidi w:val="0"/>
        <w:spacing w:lineRule="auto" w:line="288" w:before="243" w:after="283"/>
        <w:jc w:val="left"/>
        <w:rPr>
          <w:color w:val="000000"/>
        </w:rPr>
      </w:pPr>
      <w:r>
        <w:rPr>
          <w:color w:val="000000"/>
        </w:rPr>
        <w:t>“</w:t>
      </w:r>
      <w:r>
        <w:rPr>
          <w:rFonts w:ascii="Times New Roman;serif" w:hAnsi="Times New Roman;serif"/>
          <w:b w:val="false"/>
          <w:color w:val="000000"/>
          <w:sz w:val="22"/>
        </w:rPr>
        <w:t>Modify” and “Modification” are defined in Section 2.19(a).</w:t>
      </w:r>
    </w:p>
    <w:p>
      <w:pPr>
        <w:pStyle w:val="TextBody"/>
        <w:bidi w:val="0"/>
        <w:spacing w:lineRule="auto" w:line="288" w:before="240" w:after="283"/>
        <w:ind w:left="0" w:right="0" w:firstLine="719"/>
        <w:jc w:val="left"/>
        <w:rPr>
          <w:color w:val="000000"/>
        </w:rPr>
      </w:pPr>
      <w:r>
        <w:rPr>
          <w:color w:val="000000"/>
        </w:rPr>
        <w:t>“</w:t>
      </w:r>
      <w:r>
        <w:rPr>
          <w:rFonts w:ascii="Times New Roman;serif" w:hAnsi="Times New Roman;serif"/>
          <w:b w:val="false"/>
          <w:color w:val="000000"/>
          <w:sz w:val="22"/>
        </w:rPr>
        <w:t>Moody’s” means Moody’s Investors Service, Inc.</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98830"/>
                <wp:effectExtent l="0" t="0" r="0" b="0"/>
                <wp:wrapNone/>
                <wp:docPr id="33" name="Frame31"/>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left"/>
        <w:rPr/>
      </w:pPr>
      <w:r>
        <w:rPr/>
      </w:r>
    </w:p>
    <w:p>
      <w:pPr>
        <w:pStyle w:val="TextBody"/>
        <w:bidi w:val="0"/>
        <w:spacing w:lineRule="auto" w:line="280" w:before="79" w:after="283"/>
        <w:ind w:left="0" w:right="0" w:firstLine="719"/>
        <w:jc w:val="both"/>
        <w:rPr>
          <w:color w:val="000000"/>
        </w:rPr>
      </w:pPr>
      <w:r>
        <w:rPr>
          <w:color w:val="000000"/>
        </w:rPr>
        <w:t>“</w:t>
      </w:r>
      <w:r>
        <w:rPr>
          <w:rFonts w:ascii="Times New Roman;serif" w:hAnsi="Times New Roman;serif"/>
          <w:b w:val="false"/>
          <w:color w:val="000000"/>
          <w:sz w:val="22"/>
        </w:rPr>
        <w:t>Multiemployer Plan” means a Plan maintained pursuant to a collective bargaining agreement or any other arrangement to which the Borrower or any ERISA Affiliate is, or in the immediately preceding six years was, a party to which more than one employer is obligated to make contributions.</w:t>
      </w:r>
    </w:p>
    <w:p>
      <w:pPr>
        <w:pStyle w:val="TextBody"/>
        <w:bidi w:val="0"/>
        <w:spacing w:lineRule="auto" w:line="288" w:before="232" w:after="283"/>
        <w:ind w:left="0" w:right="0" w:firstLine="719"/>
        <w:jc w:val="both"/>
        <w:rPr>
          <w:color w:val="000000"/>
        </w:rPr>
      </w:pPr>
      <w:r>
        <w:rPr>
          <w:color w:val="000000"/>
        </w:rPr>
        <w:t>“</w:t>
      </w:r>
      <w:r>
        <w:rPr>
          <w:rFonts w:ascii="Times New Roman;serif" w:hAnsi="Times New Roman;serif"/>
          <w:b w:val="false"/>
          <w:color w:val="000000"/>
          <w:sz w:val="22"/>
        </w:rPr>
        <w:t>Net Eligible Accounts” means Accounts owned by Borrower that are not aged greater one hundred twenty (120) days following their invoice date, less reserves for doubtful accounts and returns and other reserves established by Administrative Agent from time to time in its sole and absolute discretion.</w:t>
      </w:r>
    </w:p>
    <w:p>
      <w:pPr>
        <w:pStyle w:val="TextBody"/>
        <w:bidi w:val="0"/>
        <w:spacing w:lineRule="auto" w:line="288" w:before="239" w:after="283"/>
        <w:jc w:val="left"/>
        <w:rPr>
          <w:color w:val="000000"/>
        </w:rPr>
      </w:pPr>
      <w:r>
        <w:rPr>
          <w:color w:val="000000"/>
        </w:rPr>
        <w:t>“</w:t>
      </w:r>
      <w:r>
        <w:rPr>
          <w:rFonts w:ascii="Times New Roman;serif" w:hAnsi="Times New Roman;serif"/>
          <w:b w:val="false"/>
          <w:color w:val="000000"/>
          <w:sz w:val="22"/>
        </w:rPr>
        <w:t>New York Banking Day” means any day (other than a Saturday or Sunday) on which commercial</w:t>
      </w:r>
    </w:p>
    <w:p>
      <w:pPr>
        <w:pStyle w:val="TextBody"/>
        <w:bidi w:val="0"/>
        <w:spacing w:lineRule="auto" w:line="288" w:before="4" w:after="283"/>
        <w:jc w:val="left"/>
        <w:rPr>
          <w:rFonts w:ascii="Times New Roman;serif" w:hAnsi="Times New Roman;serif"/>
          <w:b w:val="false"/>
          <w:color w:val="000000"/>
          <w:sz w:val="22"/>
        </w:rPr>
      </w:pPr>
      <w:r>
        <w:rPr>
          <w:rFonts w:ascii="Times New Roman;serif" w:hAnsi="Times New Roman;serif"/>
          <w:b w:val="false"/>
          <w:color w:val="000000"/>
          <w:sz w:val="22"/>
        </w:rPr>
        <w:t>banks are open for business in New York, New York.</w:t>
      </w:r>
    </w:p>
    <w:p>
      <w:pPr>
        <w:pStyle w:val="TextBody"/>
        <w:bidi w:val="0"/>
        <w:spacing w:lineRule="auto" w:line="288" w:before="236" w:after="283"/>
        <w:jc w:val="left"/>
        <w:rPr>
          <w:color w:val="000000"/>
        </w:rPr>
      </w:pPr>
      <w:r>
        <w:rPr>
          <w:color w:val="000000"/>
        </w:rPr>
        <w:t>“</w:t>
      </w:r>
      <w:r>
        <w:rPr>
          <w:rFonts w:ascii="Times New Roman;serif" w:hAnsi="Times New Roman;serif"/>
          <w:b w:val="false"/>
          <w:color w:val="000000"/>
          <w:sz w:val="22"/>
        </w:rPr>
        <w:t>Non-Defaulting Lender” means, at any time, each Lender that is not a Defaulting Lender at such</w:t>
      </w:r>
    </w:p>
    <w:p>
      <w:pPr>
        <w:pStyle w:val="TextBody"/>
        <w:bidi w:val="0"/>
        <w:spacing w:lineRule="auto" w:line="288" w:before="4" w:after="283"/>
        <w:jc w:val="left"/>
        <w:rPr>
          <w:rFonts w:ascii="Times New Roman;serif" w:hAnsi="Times New Roman;serif"/>
          <w:b w:val="false"/>
          <w:color w:val="000000"/>
          <w:sz w:val="22"/>
        </w:rPr>
      </w:pPr>
      <w:r>
        <w:rPr>
          <w:rFonts w:ascii="Times New Roman;serif" w:hAnsi="Times New Roman;serif"/>
          <w:b w:val="false"/>
          <w:color w:val="000000"/>
          <w:sz w:val="22"/>
        </w:rPr>
        <w:t>time.</w:t>
      </w:r>
    </w:p>
    <w:p>
      <w:pPr>
        <w:pStyle w:val="TextBody"/>
        <w:bidi w:val="0"/>
        <w:spacing w:lineRule="auto" w:line="288" w:before="238" w:after="283"/>
        <w:jc w:val="left"/>
        <w:rPr>
          <w:color w:val="000000"/>
        </w:rPr>
      </w:pPr>
      <w:r>
        <w:rPr>
          <w:color w:val="000000"/>
        </w:rPr>
        <w:t>“</w:t>
      </w:r>
      <w:r>
        <w:rPr>
          <w:rFonts w:ascii="Times New Roman;serif" w:hAnsi="Times New Roman;serif"/>
          <w:b w:val="false"/>
          <w:color w:val="000000"/>
          <w:sz w:val="22"/>
        </w:rPr>
        <w:t>Non-U.S. Lender” means a Lender that is not a United States person as defined in</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Section 7701(a)(30) of the Code.</w:t>
      </w:r>
    </w:p>
    <w:p>
      <w:pPr>
        <w:pStyle w:val="TextBody"/>
        <w:bidi w:val="0"/>
        <w:spacing w:lineRule="auto" w:line="288" w:before="241" w:after="283"/>
        <w:jc w:val="left"/>
        <w:rPr>
          <w:color w:val="000000"/>
        </w:rPr>
      </w:pPr>
      <w:r>
        <w:rPr>
          <w:color w:val="000000"/>
        </w:rPr>
        <w:t>“</w:t>
      </w:r>
      <w:r>
        <w:rPr>
          <w:rFonts w:ascii="Times New Roman;serif" w:hAnsi="Times New Roman;serif"/>
          <w:b w:val="false"/>
          <w:color w:val="000000"/>
          <w:sz w:val="22"/>
        </w:rPr>
        <w:t>Note” is defined in Section 2.13(d).</w:t>
      </w:r>
    </w:p>
    <w:p>
      <w:pPr>
        <w:pStyle w:val="TextBody"/>
        <w:bidi w:val="0"/>
        <w:spacing w:lineRule="auto" w:line="288" w:before="237" w:after="283"/>
        <w:ind w:left="0" w:right="0" w:firstLine="719"/>
        <w:jc w:val="both"/>
        <w:rPr/>
      </w:pPr>
      <w:r>
        <w:rPr>
          <w:color w:val="000000"/>
        </w:rPr>
        <w:t>“</w:t>
      </w:r>
      <w:r>
        <w:rPr>
          <w:rFonts w:ascii="Times New Roman;serif" w:hAnsi="Times New Roman;serif"/>
          <w:b w:val="false"/>
          <w:color w:val="000000"/>
          <w:sz w:val="22"/>
        </w:rPr>
        <w:t xml:space="preserve">Obligations” means all unpaid principal of and accrued and unpaid interest on the Loans, all LC Obligations, all obligations in connection with Cash Management Services, all obligations in connection with Lender-Provided Swaps, all accrued and unpaid fees, and all expenses, reimbursements, indemnities and other obligations of the Borrower to the Lenders or to any Lender, the Administrative Agent, the LC Issuer or any indemnified party arising under the Loan Documents (including interest and fees accruing during the pendency of any bankruptcy, insolvency, receivership or other similar proceeding, regardless of whether allowed or allowable in such proceeding); </w:t>
      </w:r>
      <w:r>
        <w:rPr>
          <w:rFonts w:ascii="Times New Roman;serif" w:hAnsi="Times New Roman;serif"/>
          <w:b w:val="false"/>
          <w:i/>
          <w:color w:val="000000"/>
          <w:sz w:val="22"/>
        </w:rPr>
        <w:t>provided</w:t>
      </w:r>
      <w:r>
        <w:rPr>
          <w:rFonts w:ascii="Times New Roman;serif" w:hAnsi="Times New Roman;serif"/>
          <w:b w:val="false"/>
          <w:color w:val="000000"/>
          <w:sz w:val="22"/>
        </w:rPr>
        <w:t>, that “Obligations” shall exclude all Excluded Swap Obligations.</w:t>
      </w:r>
    </w:p>
    <w:p>
      <w:pPr>
        <w:pStyle w:val="TextBody"/>
        <w:bidi w:val="0"/>
        <w:spacing w:lineRule="auto" w:line="288" w:before="242" w:after="283"/>
        <w:jc w:val="left"/>
        <w:rPr>
          <w:color w:val="000000"/>
        </w:rPr>
      </w:pPr>
      <w:r>
        <w:rPr>
          <w:color w:val="000000"/>
        </w:rPr>
        <w:t>“</w:t>
      </w:r>
      <w:r>
        <w:rPr>
          <w:rFonts w:ascii="Times New Roman;serif" w:hAnsi="Times New Roman;serif"/>
          <w:b w:val="false"/>
          <w:color w:val="000000"/>
          <w:sz w:val="22"/>
        </w:rPr>
        <w:t>OFAC” means the U.S. Department of the Treasury’s Office of Foreign Assets Control, and any</w:t>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successor thereto.</w:t>
      </w:r>
    </w:p>
    <w:p>
      <w:pPr>
        <w:pStyle w:val="TextBody"/>
        <w:bidi w:val="0"/>
        <w:spacing w:lineRule="auto" w:line="288" w:before="236" w:after="283"/>
        <w:ind w:left="0" w:right="0" w:firstLine="719"/>
        <w:jc w:val="both"/>
        <w:rPr>
          <w:color w:val="000000"/>
        </w:rPr>
      </w:pPr>
      <w:r>
        <w:rPr>
          <w:color w:val="000000"/>
        </w:rPr>
        <w:t>“</w:t>
      </w:r>
      <w:r>
        <w:rPr>
          <w:rFonts w:ascii="Times New Roman;serif" w:hAnsi="Times New Roman;serif"/>
          <w:b w:val="false"/>
          <w:color w:val="000000"/>
          <w:sz w:val="22"/>
        </w:rPr>
        <w:t>Operating Lease” of a Person means any lease of Property (other than a Capitalized Lease) by such Person as lessee which has an original term (including any required renewals and any renewals effective at the option of the lessor) of one year or more.</w:t>
      </w:r>
    </w:p>
    <w:p>
      <w:pPr>
        <w:pStyle w:val="TextBody"/>
        <w:bidi w:val="0"/>
        <w:spacing w:lineRule="auto" w:line="288" w:before="242" w:after="283"/>
        <w:ind w:left="0" w:right="0" w:firstLine="719"/>
        <w:jc w:val="both"/>
        <w:rPr>
          <w:color w:val="000000"/>
        </w:rPr>
      </w:pPr>
      <w:r>
        <w:rPr>
          <w:color w:val="000000"/>
        </w:rPr>
        <w:t>“</w:t>
      </w:r>
      <w:r>
        <w:rPr>
          <w:rFonts w:ascii="Times New Roman;serif" w:hAnsi="Times New Roman;serif"/>
          <w:b w:val="false"/>
          <w:color w:val="000000"/>
          <w:sz w:val="22"/>
        </w:rPr>
        <w:t>Operating Lease Obligations” means, as at any date of determination, the amount obtained by aggregating the present values, determined in the case of each particular Operating Lease by applying a discount rate (which discount rate shall equal the discount rate which would be applied under GAAP if such Operating Lease were a Capitalized Lease) from the date on which each fixed lease payment is due under such Operating Lease to such date of determination, of all fixed lease payments due under all Operating Leases of the Borrower and its Subsidiaries.</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Other Taxes” means all present or future stamp, court or documentary, intangible, recording, filing or similar Taxes (other than Excluded Taxes) that arise from any payment made under, from the execution, delivery, performance, enforcement or registration of, from the receipt or perfection of a security interest under, or otherwise with respect to, any Loan Document.</w:t>
      </w:r>
    </w:p>
    <w:p>
      <w:pPr>
        <w:pStyle w:val="TextBody"/>
        <w:bidi w:val="0"/>
        <w:spacing w:lineRule="auto" w:line="288" w:before="243" w:after="283"/>
        <w:jc w:val="left"/>
        <w:rPr>
          <w:color w:val="000000"/>
        </w:rPr>
      </w:pPr>
      <w:r>
        <w:rPr>
          <w:color w:val="000000"/>
        </w:rPr>
        <w:t>“</w:t>
      </w:r>
      <w:r>
        <w:rPr>
          <w:rFonts w:ascii="Times New Roman;serif" w:hAnsi="Times New Roman;serif"/>
          <w:b w:val="false"/>
          <w:color w:val="000000"/>
          <w:sz w:val="22"/>
        </w:rPr>
        <w:t>Participant” is defined in Section 12.2(a).</w:t>
      </w:r>
    </w:p>
    <w:p>
      <w:pPr>
        <w:pStyle w:val="TextBody"/>
        <w:bidi w:val="0"/>
        <w:spacing w:lineRule="auto" w:line="288" w:before="240" w:after="283"/>
        <w:ind w:left="0" w:right="0" w:firstLine="719"/>
        <w:jc w:val="left"/>
        <w:rPr>
          <w:color w:val="000000"/>
        </w:rPr>
      </w:pPr>
      <w:r>
        <w:rPr>
          <w:color w:val="000000"/>
        </w:rPr>
        <w:t>“</w:t>
      </w:r>
      <w:r>
        <w:rPr>
          <w:rFonts w:ascii="Times New Roman;serif" w:hAnsi="Times New Roman;serif"/>
          <w:b w:val="false"/>
          <w:color w:val="000000"/>
          <w:sz w:val="22"/>
        </w:rPr>
        <w:t>Participant Register” is defined in Section 12.2(c).</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98830"/>
                <wp:effectExtent l="0" t="0" r="0" b="0"/>
                <wp:wrapNone/>
                <wp:docPr id="34" name="Frame32"/>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left"/>
        <w:rPr/>
      </w:pPr>
      <w:r>
        <w:rPr/>
      </w:r>
    </w:p>
    <w:p>
      <w:pPr>
        <w:pStyle w:val="TextBody"/>
        <w:bidi w:val="0"/>
        <w:spacing w:lineRule="auto" w:line="288" w:before="79" w:after="283"/>
        <w:ind w:left="0" w:right="0" w:firstLine="719"/>
        <w:jc w:val="both"/>
        <w:rPr>
          <w:color w:val="000000"/>
        </w:rPr>
      </w:pPr>
      <w:r>
        <w:rPr>
          <w:color w:val="000000"/>
        </w:rPr>
        <w:t>“</w:t>
      </w:r>
      <w:r>
        <w:rPr>
          <w:rFonts w:ascii="Times New Roman;serif" w:hAnsi="Times New Roman;serif"/>
          <w:b w:val="false"/>
          <w:color w:val="000000"/>
          <w:sz w:val="22"/>
        </w:rPr>
        <w:t>PATRIOT Act” means the USA PATRIOT Act (Title III of Pub. L. 107-56 (signed into law October 26, 2001)).</w:t>
      </w:r>
    </w:p>
    <w:p>
      <w:pPr>
        <w:pStyle w:val="TextBody"/>
        <w:bidi w:val="0"/>
        <w:spacing w:lineRule="auto" w:line="288" w:before="240" w:after="283"/>
        <w:ind w:left="0" w:right="0" w:firstLine="719"/>
        <w:jc w:val="both"/>
        <w:rPr/>
      </w:pPr>
      <w:r>
        <w:rPr>
          <w:color w:val="000000"/>
        </w:rPr>
        <w:t>“</w:t>
      </w:r>
      <w:r>
        <w:rPr>
          <w:rFonts w:ascii="Times New Roman;serif" w:hAnsi="Times New Roman;serif"/>
          <w:b w:val="false"/>
          <w:color w:val="000000"/>
          <w:sz w:val="22"/>
        </w:rPr>
        <w:t xml:space="preserve">Payment Date” means the first day of each January, April, July and October, </w:t>
      </w:r>
      <w:r>
        <w:rPr>
          <w:rFonts w:ascii="Times New Roman;serif" w:hAnsi="Times New Roman;serif"/>
          <w:b w:val="false"/>
          <w:i/>
          <w:color w:val="000000"/>
          <w:sz w:val="22"/>
        </w:rPr>
        <w:t>provided</w:t>
      </w:r>
      <w:r>
        <w:rPr>
          <w:rFonts w:ascii="Times New Roman;serif" w:hAnsi="Times New Roman;serif"/>
          <w:b w:val="false"/>
          <w:color w:val="000000"/>
          <w:sz w:val="22"/>
        </w:rPr>
        <w:t>, that if such day is not a Business Day, the Payment Date shall be the immediately succeeding Business Day.</w:t>
      </w:r>
    </w:p>
    <w:p>
      <w:pPr>
        <w:pStyle w:val="TextBody"/>
        <w:bidi w:val="0"/>
        <w:spacing w:lineRule="auto" w:line="288" w:before="243" w:after="283"/>
        <w:jc w:val="left"/>
        <w:rPr>
          <w:color w:val="000000"/>
        </w:rPr>
      </w:pPr>
      <w:r>
        <w:rPr>
          <w:color w:val="000000"/>
        </w:rPr>
        <w:t>“</w:t>
      </w:r>
      <w:r>
        <w:rPr>
          <w:rFonts w:ascii="Times New Roman;serif" w:hAnsi="Times New Roman;serif"/>
          <w:b w:val="false"/>
          <w:color w:val="000000"/>
          <w:sz w:val="22"/>
        </w:rPr>
        <w:t>PBGC” means the Pension Benefit Guaranty Corporation, or any successor thereto.</w:t>
      </w:r>
    </w:p>
    <w:p>
      <w:pPr>
        <w:pStyle w:val="TextBody"/>
        <w:bidi w:val="0"/>
        <w:spacing w:lineRule="auto" w:line="288" w:before="237" w:after="283"/>
        <w:ind w:left="0" w:right="0" w:firstLine="719"/>
        <w:jc w:val="both"/>
        <w:rPr>
          <w:color w:val="000000"/>
        </w:rPr>
      </w:pPr>
      <w:r>
        <w:rPr>
          <w:color w:val="000000"/>
        </w:rPr>
        <w:t>“</w:t>
      </w:r>
      <w:r>
        <w:rPr>
          <w:rFonts w:ascii="Times New Roman;serif" w:hAnsi="Times New Roman;serif"/>
          <w:b w:val="false"/>
          <w:color w:val="000000"/>
          <w:sz w:val="22"/>
        </w:rPr>
        <w:t>Permitted Acquisition” means any Acquisition made by the Borrower or any of its Subsidiaries, provided that, (a) as of the date of the consummation of such Acquisition, no Default or Event of Default shall have occurred and be continuing or would result after giving effect to such Acquisition, and the representation and warranty contained in Section 5.10 shall be true both before and after giving effect to such Acquisition, (b) such Acquisition is consummated on a non-hostile basis pursuant to a negotiated acquisition agreement that has been (if required by the governing documents of the seller or entity to be acquired) approved by the board of directors or other applicable governing body of the seller or entity to be acquired, and no material challenge to such Acquisition (excluding the exercise of appraisal rights) shall be pending or threatened by any shareholder or director of the seller or entity to be acquired, (c) the business to be acquired in such Acquisition is in the same line of business as the Borrower’s or a line of business incidental thereto, (d) as of the date of the consummation of such Acquisition, all material approvals required in connection therewith shall have been obtained, (e) the Borrower shall have furnished to the Administrative Agent a certificate demonstrating in reasonable detail, assuming the Acquisition was made as of the date of the most recent Compliance Certificate delivered to the Administrative Agent, that (A) the Borrower would be in compliance at all times with all the terms, provisions, covenants and conditions contained in this Agreement and the other Loan Documents, which such other supporting documents and information as the Administrative Agent may reasonably require and (B) the Borrower’s pro forma compliance with Section 6.21(b) concerning the Consolidated Cash Flow Leverage Ratio is 0.25 less than the ratio required under 6.21(b), (f) after giving effect to such Acquisition, the business to be acquired in such Acquisition Target shall be owned directly by the Borrower or shall become a wholly-owned Subsidiary, directly or indirectly, of the Borrower and, to the extent required under Section 6.27, becomes a Restricted Subsidiary and (g) after giving effect to the Acquisition, Consolidated Liquidity shall be greater than or equal to $10,000,000.</w:t>
      </w:r>
    </w:p>
    <w:p>
      <w:pPr>
        <w:pStyle w:val="TextBody"/>
        <w:bidi w:val="0"/>
        <w:spacing w:lineRule="auto" w:line="288" w:before="242" w:after="283"/>
        <w:jc w:val="left"/>
        <w:rPr>
          <w:color w:val="000000"/>
        </w:rPr>
      </w:pPr>
      <w:r>
        <w:rPr>
          <w:color w:val="000000"/>
        </w:rPr>
        <w:t>“</w:t>
      </w:r>
      <w:r>
        <w:rPr>
          <w:rFonts w:ascii="Times New Roman;serif" w:hAnsi="Times New Roman;serif"/>
          <w:b w:val="false"/>
          <w:color w:val="000000"/>
          <w:sz w:val="22"/>
        </w:rPr>
        <w:t>Permitted Liens” means the Liens permitted pursuant to Section 6.16.</w:t>
      </w:r>
    </w:p>
    <w:p>
      <w:pPr>
        <w:pStyle w:val="TextBody"/>
        <w:bidi w:val="0"/>
        <w:spacing w:lineRule="auto" w:line="280" w:before="239" w:after="283"/>
        <w:ind w:left="0" w:right="0" w:firstLine="719"/>
        <w:jc w:val="both"/>
        <w:rPr>
          <w:color w:val="000000"/>
        </w:rPr>
      </w:pPr>
      <w:r>
        <w:rPr>
          <w:color w:val="000000"/>
        </w:rPr>
        <w:t>“</w:t>
      </w:r>
      <w:r>
        <w:rPr>
          <w:rFonts w:ascii="Times New Roman;serif" w:hAnsi="Times New Roman;serif"/>
          <w:b w:val="false"/>
          <w:color w:val="000000"/>
          <w:sz w:val="22"/>
        </w:rPr>
        <w:t>Permitted Tariff Refund Sale” means the sale of Borrower’s claims, interests and causes of action relating to certain tariff refunds, pursuant to a Claim Sale and Purchase Agreement dated as of June 9, 2026 by and between Borrower and Jefferies Leveraged Credit Products, LLC.</w:t>
      </w:r>
    </w:p>
    <w:p>
      <w:pPr>
        <w:pStyle w:val="TextBody"/>
        <w:bidi w:val="0"/>
        <w:spacing w:lineRule="auto" w:line="280" w:before="232" w:after="283"/>
        <w:ind w:left="0" w:right="0" w:firstLine="719"/>
        <w:jc w:val="both"/>
        <w:rPr>
          <w:color w:val="000000"/>
        </w:rPr>
      </w:pPr>
      <w:r>
        <w:rPr>
          <w:color w:val="000000"/>
        </w:rPr>
        <w:t>“</w:t>
      </w:r>
      <w:r>
        <w:rPr>
          <w:rFonts w:ascii="Times New Roman;serif" w:hAnsi="Times New Roman;serif"/>
          <w:b w:val="false"/>
          <w:color w:val="000000"/>
          <w:sz w:val="22"/>
        </w:rPr>
        <w:t>Person” means any natural person, corporation, firm, joint venture, partnership, limited liability company, association, enterprise, trust or other entity or organization, or any government or political subdivision or any agency, department or instrumentality thereof.</w:t>
      </w:r>
    </w:p>
    <w:p>
      <w:pPr>
        <w:pStyle w:val="TextBody"/>
        <w:bidi w:val="0"/>
        <w:spacing w:lineRule="auto" w:line="288" w:before="232" w:after="283"/>
        <w:ind w:left="0" w:right="0" w:firstLine="719"/>
        <w:jc w:val="both"/>
        <w:rPr>
          <w:color w:val="000000"/>
        </w:rPr>
      </w:pPr>
      <w:r>
        <w:rPr>
          <w:color w:val="000000"/>
        </w:rPr>
        <w:t>“</w:t>
      </w:r>
      <w:r>
        <w:rPr>
          <w:rFonts w:ascii="Times New Roman;serif" w:hAnsi="Times New Roman;serif"/>
          <w:b w:val="false"/>
          <w:color w:val="000000"/>
          <w:sz w:val="22"/>
        </w:rPr>
        <w:t>Plan” means an employee pension benefit plan which is covered by Title IV of ERISA or subject to the minimum funding standards under Section 412 of the Code or Section 302 of ERISA as to which the Borrower or any ERISA Affiliate may have any liability.</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Prime Rate” means a rate per annum equal to the prime rate of interest announced from time to time by U.S. Bank or its parent (which is not necessarily the lowest rate charged to any customer), changing when and as such prime rate changes.</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98830"/>
                <wp:effectExtent l="0" t="0" r="0" b="0"/>
                <wp:wrapNone/>
                <wp:docPr id="35" name="Frame33"/>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left"/>
        <w:rPr>
          <w:color w:val="000000"/>
        </w:rPr>
      </w:pPr>
      <w:r>
        <w:rPr>
          <w:color w:val="000000"/>
        </w:rPr>
        <w:t>“</w:t>
      </w:r>
      <w:r>
        <w:rPr>
          <w:rFonts w:ascii="Times New Roman;serif" w:hAnsi="Times New Roman;serif"/>
          <w:b w:val="false"/>
          <w:color w:val="000000"/>
          <w:sz w:val="22"/>
        </w:rPr>
        <w:t>Property” of a Person means any and all property, whether real, personal, tangible, intangible, or</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mixed, of such Person, or other assets owned, leased or operated by such Person.</w:t>
      </w:r>
    </w:p>
    <w:p>
      <w:pPr>
        <w:pStyle w:val="TextBody"/>
        <w:bidi w:val="0"/>
        <w:spacing w:lineRule="auto" w:line="288" w:before="239" w:after="283"/>
        <w:ind w:left="0" w:right="0" w:firstLine="719"/>
        <w:jc w:val="both"/>
        <w:rPr/>
      </w:pPr>
      <w:r>
        <w:rPr>
          <w:color w:val="000000"/>
        </w:rPr>
        <w:t>“</w:t>
      </w:r>
      <w:r>
        <w:rPr>
          <w:rFonts w:ascii="Times New Roman;serif" w:hAnsi="Times New Roman;serif"/>
          <w:b w:val="false"/>
          <w:color w:val="000000"/>
          <w:sz w:val="22"/>
        </w:rPr>
        <w:t xml:space="preserve">Pro Rata Share” means, with respect to a Lender, a portion equal to a fraction the numerator of which is such Lender’s Revolving Commitment and the denominator of which is the Aggregate Revolving Commitment,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if all of the Revolving Commitments are terminated pursuant to the terms of this Agreement, then “Pro Rata Share” means the percentage obtained by dividing (a) such Lender’s Revolving Exposure at such time by (b) the Aggregate Revolving Exposure at such time; and </w:t>
      </w:r>
      <w:r>
        <w:rPr>
          <w:rFonts w:ascii="Times New Roman;serif" w:hAnsi="Times New Roman;serif"/>
          <w:b w:val="false"/>
          <w:i/>
          <w:color w:val="000000"/>
          <w:sz w:val="22"/>
        </w:rPr>
        <w:t>provided, further</w:t>
      </w:r>
      <w:r>
        <w:rPr>
          <w:rFonts w:ascii="Times New Roman;serif" w:hAnsi="Times New Roman;serif"/>
          <w:b w:val="false"/>
          <w:color w:val="000000"/>
          <w:sz w:val="22"/>
        </w:rPr>
        <w:t>, that when a Defaulting Lender shall exist, “Pro Rata Share” shall mean the percentage of the Aggregate Revolving Commitment (disregarding any Defaulting Lender’s Revolving Commitment) represented by such Lender’s Revolving Commitment (except that no Lender is required to fund or participate in Revolving Loans, Swing Line Loans or Facility LCs to the extent that, after giving effect thereto, the aggregate amount of its outstanding Revolving Loans and funded or unfunded participations in Swing Line Loans and Facility LCs would exceed the amount of its Revolving Commitment (determined as though no Defaulting Lender existed)).</w:t>
      </w:r>
    </w:p>
    <w:p>
      <w:pPr>
        <w:pStyle w:val="TextBody"/>
        <w:bidi w:val="0"/>
        <w:spacing w:lineRule="auto" w:line="288" w:before="243" w:after="283"/>
        <w:jc w:val="left"/>
        <w:rPr>
          <w:color w:val="000000"/>
        </w:rPr>
      </w:pPr>
      <w:r>
        <w:rPr>
          <w:color w:val="000000"/>
        </w:rPr>
        <w:t>“</w:t>
      </w:r>
      <w:r>
        <w:rPr>
          <w:rFonts w:ascii="Times New Roman;serif" w:hAnsi="Times New Roman;serif"/>
          <w:b w:val="false"/>
          <w:color w:val="000000"/>
          <w:sz w:val="22"/>
        </w:rPr>
        <w:t>Purchasers” is defined in Section 12.3(a).</w:t>
      </w:r>
    </w:p>
    <w:p>
      <w:pPr>
        <w:pStyle w:val="TextBody"/>
        <w:bidi w:val="0"/>
        <w:spacing w:lineRule="auto" w:line="288" w:before="237" w:after="283"/>
        <w:ind w:left="0" w:right="0" w:firstLine="719"/>
        <w:jc w:val="both"/>
        <w:rPr>
          <w:color w:val="000000"/>
        </w:rPr>
      </w:pPr>
      <w:r>
        <w:rPr>
          <w:color w:val="000000"/>
        </w:rPr>
        <w:t>“</w:t>
      </w:r>
      <w:r>
        <w:rPr>
          <w:rFonts w:ascii="Times New Roman;serif" w:hAnsi="Times New Roman;serif"/>
          <w:b w:val="false"/>
          <w:color w:val="000000"/>
          <w:sz w:val="22"/>
        </w:rPr>
        <w:t>Rate Protection Agreement” means any interest rate swap, cap, or option agreement, or other agreement pursuant to which the Borrower hedges interest rate risk with respect to a portion of the Obligations, entered into by the Borrower with the Administrative Agent, any Lender or any Affiliate of the Administrative Agent or any Lender.</w:t>
      </w:r>
    </w:p>
    <w:p>
      <w:pPr>
        <w:pStyle w:val="TextBody"/>
        <w:bidi w:val="0"/>
        <w:spacing w:lineRule="auto" w:line="288" w:before="241" w:after="283"/>
        <w:ind w:left="0" w:right="0" w:firstLine="719"/>
        <w:jc w:val="both"/>
        <w:rPr>
          <w:color w:val="000000"/>
        </w:rPr>
      </w:pPr>
      <w:r>
        <w:rPr>
          <w:color w:val="000000"/>
        </w:rPr>
        <w:t>“</w:t>
      </w:r>
      <w:r>
        <w:rPr>
          <w:rFonts w:ascii="Times New Roman;serif" w:hAnsi="Times New Roman;serif"/>
          <w:b w:val="false"/>
          <w:color w:val="000000"/>
          <w:sz w:val="22"/>
        </w:rPr>
        <w:t>Reference Time” with respect to any setting of the then-current Benchmark means (a) if such Benchmark is Daily Simple SOFR, then 3:00 p.m. (New York City time) four Business Days prior to such setting and (b) if such Benchmark is not Daily Simple SOFR, then the time determined by the Administrative Agent in its reasonable discretion.</w:t>
      </w:r>
    </w:p>
    <w:p>
      <w:pPr>
        <w:pStyle w:val="TextBody"/>
        <w:bidi w:val="0"/>
        <w:spacing w:lineRule="auto" w:line="288" w:before="241" w:after="283"/>
        <w:jc w:val="left"/>
        <w:rPr>
          <w:color w:val="000000"/>
        </w:rPr>
      </w:pPr>
      <w:r>
        <w:rPr>
          <w:color w:val="000000"/>
        </w:rPr>
        <w:t>“</w:t>
      </w:r>
      <w:r>
        <w:rPr>
          <w:rFonts w:ascii="Times New Roman;serif" w:hAnsi="Times New Roman;serif"/>
          <w:b w:val="false"/>
          <w:color w:val="000000"/>
          <w:sz w:val="22"/>
        </w:rPr>
        <w:t>Register” is defined in Section 12.3(d).</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Regulation D” means Regulation D of the Board of Governors of the Federal Reserve System as from time to time in effect and any successor thereto or other regulation or official interpretation of said Board of Governors relating to reserve requirements applicable to member banks of the Federal Reserve System.</w:t>
      </w:r>
    </w:p>
    <w:p>
      <w:pPr>
        <w:pStyle w:val="TextBody"/>
        <w:bidi w:val="0"/>
        <w:spacing w:lineRule="auto" w:line="280" w:before="239" w:after="283"/>
        <w:ind w:left="0" w:right="0" w:firstLine="719"/>
        <w:jc w:val="both"/>
        <w:rPr>
          <w:color w:val="000000"/>
        </w:rPr>
      </w:pPr>
      <w:r>
        <w:rPr>
          <w:color w:val="000000"/>
        </w:rPr>
        <w:t>“</w:t>
      </w:r>
      <w:r>
        <w:rPr>
          <w:rFonts w:ascii="Times New Roman;serif" w:hAnsi="Times New Roman;serif"/>
          <w:b w:val="false"/>
          <w:color w:val="000000"/>
          <w:sz w:val="22"/>
        </w:rPr>
        <w:t>Regulation U” means Regulation U of the Board of Governors of the Federal Reserve System as from time to time in effect and any successor or other regulation or official interpretation of said Board of Governors relating to the extension of credit by banks for the purpose of purchasing or carrying margin stocks applicable to member banks of the Federal Reserve System.</w:t>
      </w:r>
    </w:p>
    <w:p>
      <w:pPr>
        <w:pStyle w:val="TextBody"/>
        <w:bidi w:val="0"/>
        <w:spacing w:lineRule="auto" w:line="280" w:before="230" w:after="283"/>
        <w:ind w:left="0" w:right="0" w:firstLine="719"/>
        <w:jc w:val="both"/>
        <w:rPr>
          <w:color w:val="000000"/>
        </w:rPr>
      </w:pPr>
      <w:r>
        <w:rPr>
          <w:color w:val="000000"/>
        </w:rPr>
        <w:t>“</w:t>
      </w:r>
      <w:r>
        <w:rPr>
          <w:rFonts w:ascii="Times New Roman;serif" w:hAnsi="Times New Roman;serif"/>
          <w:b w:val="false"/>
          <w:color w:val="000000"/>
          <w:sz w:val="22"/>
        </w:rPr>
        <w:t>Reimbursement Obligations” means, at any time, the aggregate of all obligations of the Borrower then outstanding under Section 2.19 to reimburse the LC Issuer for amounts paid by the LC Issuer in respect of any one or more drawings under Facility LCs.</w:t>
      </w:r>
    </w:p>
    <w:p>
      <w:pPr>
        <w:pStyle w:val="TextBody"/>
        <w:bidi w:val="0"/>
        <w:spacing w:lineRule="auto" w:line="288" w:before="233" w:after="283"/>
        <w:ind w:left="0" w:right="0" w:firstLine="719"/>
        <w:jc w:val="both"/>
        <w:rPr>
          <w:color w:val="000000"/>
        </w:rPr>
      </w:pPr>
      <w:r>
        <w:rPr>
          <w:color w:val="000000"/>
        </w:rPr>
        <w:t>“</w:t>
      </w:r>
      <w:r>
        <w:rPr>
          <w:rFonts w:ascii="Times New Roman;serif" w:hAnsi="Times New Roman;serif"/>
          <w:b w:val="false"/>
          <w:color w:val="000000"/>
          <w:sz w:val="22"/>
        </w:rPr>
        <w:t>Relevant Governmental Body”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bidi w:val="0"/>
        <w:spacing w:lineRule="auto" w:line="288" w:before="241" w:after="283"/>
        <w:jc w:val="left"/>
        <w:rPr>
          <w:color w:val="000000"/>
        </w:rPr>
      </w:pPr>
      <w:r>
        <w:rPr>
          <w:color w:val="000000"/>
        </w:rPr>
        <w:t>“</w:t>
      </w:r>
      <w:r>
        <w:rPr>
          <w:rFonts w:ascii="Times New Roman;serif" w:hAnsi="Times New Roman;serif"/>
          <w:b w:val="false"/>
          <w:color w:val="000000"/>
          <w:sz w:val="22"/>
        </w:rPr>
        <w:t>Rentals” of a Person means the aggregate fixed amounts payable by such Person under any</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Operating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98830"/>
                <wp:effectExtent l="0" t="0" r="0" b="0"/>
                <wp:wrapNone/>
                <wp:docPr id="36" name="Frame34"/>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color w:val="000000"/>
        </w:rPr>
      </w:pPr>
      <w:r>
        <w:rPr>
          <w:color w:val="000000"/>
        </w:rPr>
        <w:t>“</w:t>
      </w:r>
      <w:r>
        <w:rPr>
          <w:rFonts w:ascii="Times New Roman;serif" w:hAnsi="Times New Roman;serif"/>
          <w:b w:val="false"/>
          <w:color w:val="000000"/>
          <w:sz w:val="22"/>
        </w:rPr>
        <w:t>Reports” is defined in Section 9.6(a).</w:t>
      </w:r>
    </w:p>
    <w:p>
      <w:pPr>
        <w:pStyle w:val="TextBody"/>
        <w:bidi w:val="0"/>
        <w:spacing w:lineRule="auto" w:line="288" w:before="237" w:after="283"/>
        <w:ind w:left="0" w:right="0" w:firstLine="719"/>
        <w:jc w:val="both"/>
        <w:rPr>
          <w:color w:val="000000"/>
        </w:rPr>
      </w:pPr>
      <w:r>
        <w:rPr>
          <w:color w:val="000000"/>
        </w:rPr>
        <w:t>“</w:t>
      </w:r>
      <w:r>
        <w:rPr>
          <w:rFonts w:ascii="Times New Roman;serif" w:hAnsi="Times New Roman;serif"/>
          <w:b w:val="false"/>
          <w:color w:val="000000"/>
          <w:sz w:val="22"/>
        </w:rPr>
        <w:t>Required Lenders” means at least two Lenders that, in the aggregate, have greater than 66.67% of the Aggregate Revolving Commitment or, if the Aggregate Revolving Commitment has been terminated, Lenders in the aggregate holding greater than 66.67% of the Aggregate Revolving Exposure. The Revolving Commitments and Revolving Exposure of any Defaulting Lender shall be disregarded in determining Required Lenders at any time.</w:t>
      </w:r>
    </w:p>
    <w:p>
      <w:pPr>
        <w:pStyle w:val="TextBody"/>
        <w:bidi w:val="0"/>
        <w:spacing w:lineRule="auto" w:line="288" w:before="240" w:after="283"/>
        <w:ind w:left="0" w:right="0" w:firstLine="719"/>
        <w:jc w:val="both"/>
        <w:rPr>
          <w:color w:val="000000"/>
        </w:rPr>
      </w:pPr>
      <w:r>
        <w:rPr>
          <w:color w:val="000000"/>
        </w:rPr>
        <w:t>“</w:t>
      </w:r>
      <w:r>
        <w:rPr>
          <w:rFonts w:ascii="Times New Roman;serif" w:hAnsi="Times New Roman;serif"/>
          <w:b w:val="false"/>
          <w:color w:val="000000"/>
          <w:sz w:val="22"/>
        </w:rPr>
        <w:t>Restricted Payment” means any dividend or other distribution (whether in cash, securities or other Property) with respect to any Equity Interest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Subsidiary thereof or any option, warrant or other right to acquire any such Equity Interest in the Borrower or any Subsidiary thereof.</w:t>
      </w:r>
    </w:p>
    <w:p>
      <w:pPr>
        <w:pStyle w:val="TextBody"/>
        <w:bidi w:val="0"/>
        <w:spacing w:lineRule="atLeast" w:line="276" w:before="242" w:after="283"/>
        <w:jc w:val="both"/>
        <w:rPr/>
      </w:pPr>
      <w:r>
        <w:rPr>
          <w:color w:val="000000"/>
        </w:rPr>
        <w:t>“</w:t>
      </w:r>
      <w:r>
        <w:rPr>
          <w:rFonts w:ascii="Times New Roman;serif" w:hAnsi="Times New Roman;serif"/>
          <w:b w:val="false"/>
          <w:color w:val="000000"/>
          <w:sz w:val="22"/>
        </w:rPr>
        <w:t xml:space="preserve">Restricted Subsidiary” means (a) Universal Electronics BV, </w:t>
      </w:r>
      <w:r>
        <w:rPr>
          <w:rFonts w:ascii="Times New Roman;serif" w:hAnsi="Times New Roman;serif"/>
          <w:b w:val="false"/>
          <w:color w:val="000000"/>
          <w:sz w:val="24"/>
        </w:rPr>
        <w:t>a Dutch private limited company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UEI Hong Kong Private Limited, a company organized under the Laws of Hong Kong, (c) C.G. Development Limited, a Hong Kong company, (d) Gemstar Technology (Yangzhou) Co. Ltd., a People’s Republic of China company, and (e) each other Subsidiary designated in writing by the Borrower pursuant to Section 6.27.</w:t>
      </w:r>
    </w:p>
    <w:p>
      <w:pPr>
        <w:pStyle w:val="TextBody"/>
        <w:bidi w:val="0"/>
        <w:spacing w:lineRule="auto" w:line="288" w:before="241" w:after="283"/>
        <w:ind w:left="0" w:right="0" w:firstLine="719"/>
        <w:jc w:val="both"/>
        <w:rPr>
          <w:color w:val="000000"/>
        </w:rPr>
      </w:pPr>
      <w:r>
        <w:rPr>
          <w:color w:val="000000"/>
        </w:rPr>
        <w:t>“</w:t>
      </w:r>
      <w:r>
        <w:rPr>
          <w:rFonts w:ascii="Times New Roman;serif" w:hAnsi="Times New Roman;serif"/>
          <w:b w:val="false"/>
          <w:color w:val="000000"/>
          <w:sz w:val="22"/>
        </w:rPr>
        <w:t>Revolving Commitment” means, for each Lender, the obligation, if any, of such Lender to make Revolving Loans to, and participate in Facility LCs issued upon the application of and Swing Line Loans made to, the Borrower, expressed as an amount representing the maximum possible aggregate amount of such lender’s Revolving Exposure hereunder. The amount of each Revolving Lender’s Revolving Commitment is set forth on Schedule 2, as it may be modified (i) as a result of any assignment that has become effective pursuant to Section 12.3, or (ii) otherwise from time to time pursuant to the terms hereof. As of the date of this Agreement, the aggregate amount of the Lenders’ Revolving Commitments is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$60,000,000.</w:t>
      </w:r>
    </w:p>
    <w:p>
      <w:pPr>
        <w:pStyle w:val="TextBody"/>
        <w:bidi w:val="0"/>
        <w:spacing w:lineRule="auto" w:line="288" w:before="240" w:after="283"/>
        <w:ind w:left="0" w:right="0" w:firstLine="719"/>
        <w:jc w:val="both"/>
        <w:rPr/>
      </w:pPr>
      <w:r>
        <w:rPr>
          <w:color w:val="000000"/>
        </w:rPr>
        <w:t>“</w:t>
      </w:r>
      <w:r>
        <w:rPr>
          <w:rFonts w:ascii="Times New Roman;serif" w:hAnsi="Times New Roman;serif"/>
          <w:b w:val="false"/>
          <w:color w:val="000000"/>
          <w:sz w:val="22"/>
        </w:rPr>
        <w:t xml:space="preserve">Revolving Exposure” means, with respect to any Lender at any time, the sum of (i) the aggregate principal amount of such Lender’s Revolving Loans outstanding at such time, </w:t>
      </w:r>
      <w:r>
        <w:rPr>
          <w:rFonts w:ascii="Times New Roman;serif" w:hAnsi="Times New Roman;serif"/>
          <w:b w:val="false"/>
          <w:i/>
          <w:color w:val="000000"/>
          <w:sz w:val="22"/>
        </w:rPr>
        <w:t xml:space="preserve">plus </w:t>
      </w:r>
      <w:r>
        <w:rPr>
          <w:rFonts w:ascii="Times New Roman;serif" w:hAnsi="Times New Roman;serif"/>
          <w:b w:val="false"/>
          <w:color w:val="000000"/>
          <w:sz w:val="22"/>
        </w:rPr>
        <w:t xml:space="preserve">(ii) an amount equal to its Pro Rata Share of the aggregate principal amount of Swing Line Loans outstanding at such time, </w:t>
      </w:r>
      <w:r>
        <w:rPr>
          <w:rFonts w:ascii="Times New Roman;serif" w:hAnsi="Times New Roman;serif"/>
          <w:b w:val="false"/>
          <w:i/>
          <w:color w:val="000000"/>
          <w:sz w:val="22"/>
        </w:rPr>
        <w:t>plus</w:t>
      </w:r>
    </w:p>
    <w:p>
      <w:pPr>
        <w:pStyle w:val="TextBody"/>
        <w:bidi w:val="0"/>
        <w:spacing w:lineRule="auto" w:line="288" w:before="1" w:after="283"/>
        <w:jc w:val="both"/>
        <w:rPr>
          <w:rFonts w:ascii="Times New Roman;serif" w:hAnsi="Times New Roman;serif"/>
          <w:b w:val="false"/>
          <w:color w:val="000000"/>
          <w:sz w:val="22"/>
        </w:rPr>
      </w:pPr>
      <w:r>
        <w:rPr>
          <w:rFonts w:ascii="Times New Roman;serif" w:hAnsi="Times New Roman;serif"/>
          <w:b w:val="false"/>
          <w:color w:val="000000"/>
          <w:sz w:val="22"/>
        </w:rPr>
        <w:t>(iii) an amount equal to its Pro Rata Share of the LC Obligations at such time.</w:t>
      </w:r>
    </w:p>
    <w:p>
      <w:pPr>
        <w:pStyle w:val="TextBody"/>
        <w:bidi w:val="0"/>
        <w:spacing w:lineRule="auto" w:line="288" w:before="237" w:after="283"/>
        <w:ind w:left="0" w:right="0" w:firstLine="719"/>
        <w:jc w:val="both"/>
        <w:rPr>
          <w:color w:val="000000"/>
        </w:rPr>
      </w:pPr>
      <w:r>
        <w:rPr>
          <w:color w:val="000000"/>
        </w:rPr>
        <w:t>“</w:t>
      </w:r>
      <w:r>
        <w:rPr>
          <w:rFonts w:ascii="Times New Roman;serif" w:hAnsi="Times New Roman;serif"/>
          <w:b w:val="false"/>
          <w:color w:val="000000"/>
          <w:sz w:val="22"/>
        </w:rPr>
        <w:t>Revolving Lender” means, as of any date of determination, a Lender with a Revolving Commitment or, if the Revolving Commitments have terminated or expired, a Lender with Revolving Exposure.</w:t>
      </w:r>
    </w:p>
    <w:p>
      <w:pPr>
        <w:pStyle w:val="TextBody"/>
        <w:bidi w:val="0"/>
        <w:spacing w:lineRule="auto" w:line="288" w:before="242" w:after="283"/>
        <w:jc w:val="left"/>
        <w:rPr>
          <w:color w:val="000000"/>
        </w:rPr>
      </w:pPr>
      <w:r>
        <w:rPr>
          <w:color w:val="000000"/>
        </w:rPr>
        <w:t>“</w:t>
      </w:r>
      <w:r>
        <w:rPr>
          <w:rFonts w:ascii="Times New Roman;serif" w:hAnsi="Times New Roman;serif"/>
          <w:b w:val="false"/>
          <w:color w:val="000000"/>
          <w:sz w:val="22"/>
        </w:rPr>
        <w:t>Revolving Loan” means, with respect to a Lender, such Lender’s loan made pursuant to its</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commitment to lend set forth in Section 2.1 (or any conversion or continuation thereof).</w:t>
      </w:r>
    </w:p>
    <w:p>
      <w:pPr>
        <w:pStyle w:val="TextBody"/>
        <w:bidi w:val="0"/>
        <w:spacing w:lineRule="auto" w:line="280" w:before="237" w:after="283"/>
        <w:ind w:left="0" w:right="0" w:firstLine="719"/>
        <w:jc w:val="both"/>
        <w:rPr>
          <w:color w:val="000000"/>
        </w:rPr>
      </w:pPr>
      <w:r>
        <w:rPr>
          <w:color w:val="000000"/>
        </w:rPr>
        <w:t>“</w:t>
      </w:r>
      <w:r>
        <w:rPr>
          <w:rFonts w:ascii="Times New Roman;serif" w:hAnsi="Times New Roman;serif"/>
          <w:b w:val="false"/>
          <w:color w:val="000000"/>
          <w:sz w:val="22"/>
        </w:rPr>
        <w:t>Risk-Based Capital Guidelines” means (i) the risk-based capital guidelines in effect in the United States on the date of this Agreement, including transition rules, and (ii) the corresponding capital regulations promulgated by regulatory authorities outside the United States, including transition rules, and, in each case, any amendments to such regulations.</w:t>
      </w:r>
    </w:p>
    <w:p>
      <w:pPr>
        <w:pStyle w:val="TextBody"/>
        <w:bidi w:val="0"/>
        <w:spacing w:lineRule="auto" w:line="288" w:before="231" w:after="283"/>
        <w:jc w:val="left"/>
        <w:rPr>
          <w:color w:val="000000"/>
        </w:rPr>
      </w:pPr>
      <w:r>
        <w:rPr>
          <w:color w:val="000000"/>
        </w:rPr>
        <w:t>“</w:t>
      </w:r>
      <w:r>
        <w:rPr>
          <w:rFonts w:ascii="Times New Roman;serif" w:hAnsi="Times New Roman;serif"/>
          <w:b w:val="false"/>
          <w:color w:val="000000"/>
          <w:sz w:val="22"/>
        </w:rPr>
        <w:t>S&amp;P” means Standard &amp; Poor’s Ratings Services, a Standard &amp; Poor’s Financial Services LLC</w:t>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98830"/>
                <wp:effectExtent l="0" t="0" r="0" b="0"/>
                <wp:wrapNone/>
                <wp:docPr id="37" name="Frame35"/>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jc w:val="left"/>
        <w:rPr>
          <w:color w:val="000000"/>
        </w:rPr>
      </w:pPr>
      <w:r>
        <w:rPr>
          <w:color w:val="000000"/>
        </w:rPr>
        <w:t>“</w:t>
      </w:r>
      <w:r>
        <w:rPr>
          <w:rFonts w:ascii="Times New Roman;serif" w:hAnsi="Times New Roman;serif"/>
          <w:b w:val="false"/>
          <w:color w:val="000000"/>
          <w:sz w:val="22"/>
        </w:rPr>
        <w:t>Sale and Leaseback Transaction” means any sale or other transfer of Property by any Person with</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the intent to lease such Property as lessee.</w:t>
      </w:r>
    </w:p>
    <w:p>
      <w:pPr>
        <w:pStyle w:val="TextBody"/>
        <w:bidi w:val="0"/>
        <w:spacing w:lineRule="auto" w:line="280" w:before="239" w:after="283"/>
        <w:ind w:left="0" w:right="0" w:firstLine="719"/>
        <w:jc w:val="both"/>
        <w:rPr>
          <w:color w:val="000000"/>
        </w:rPr>
      </w:pPr>
      <w:r>
        <w:rPr>
          <w:color w:val="000000"/>
        </w:rPr>
        <w:t>“</w:t>
      </w:r>
      <w:r>
        <w:rPr>
          <w:rFonts w:ascii="Times New Roman;serif" w:hAnsi="Times New Roman;serif"/>
          <w:b w:val="false"/>
          <w:color w:val="000000"/>
          <w:sz w:val="22"/>
        </w:rPr>
        <w:t>Sanctions” means sanctions administered or enforced from time to time by the U.S. government, including those administered by OFAC, the U.S. Department of State, the United Nations Security Council, the European Union, Her Majesty’s Treasury or other relevant sanctions authority.</w:t>
      </w:r>
    </w:p>
    <w:p>
      <w:pPr>
        <w:pStyle w:val="TextBody"/>
        <w:bidi w:val="0"/>
        <w:spacing w:lineRule="auto" w:line="288" w:before="232" w:after="283"/>
        <w:ind w:left="0" w:right="0" w:firstLine="719"/>
        <w:jc w:val="both"/>
        <w:rPr>
          <w:color w:val="000000"/>
        </w:rPr>
      </w:pPr>
      <w:r>
        <w:rPr>
          <w:color w:val="000000"/>
        </w:rPr>
        <w:t>“</w:t>
      </w:r>
      <w:r>
        <w:rPr>
          <w:rFonts w:ascii="Times New Roman;serif" w:hAnsi="Times New Roman;serif"/>
          <w:b w:val="false"/>
          <w:color w:val="000000"/>
          <w:sz w:val="22"/>
        </w:rPr>
        <w:t>Schedule” refers to a specific schedule to this Agreement, unless another document is specifically referenced.</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2"/>
        </w:rPr>
        <w:t>Section” means a numbered section of this Agreement, unless another document is specifically</w:t>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referenced.</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Security Agreement” means that certain Security Agreement dated as of October 2, 2012 by and between the Borrower and the Administrative Agent, as amended by that certain Amendment to Security Agreement dated as of October 27, 2017, and as the same may be further amended, restated, or otherwise modified from time to time.</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SOFR” means, with respect to any Business Day, a rate per annum equal to the secured overnight financing rate for such Business Day published by the SOFR Administrator on the SOFR Administrator’s Website.</w:t>
      </w:r>
    </w:p>
    <w:p>
      <w:pPr>
        <w:pStyle w:val="TextBody"/>
        <w:bidi w:val="0"/>
        <w:spacing w:lineRule="auto" w:line="288" w:before="242" w:after="283"/>
        <w:jc w:val="left"/>
        <w:rPr>
          <w:color w:val="000000"/>
        </w:rPr>
      </w:pPr>
      <w:r>
        <w:rPr>
          <w:color w:val="000000"/>
        </w:rPr>
        <w:t>“</w:t>
      </w:r>
      <w:r>
        <w:rPr>
          <w:rFonts w:ascii="Times New Roman;serif" w:hAnsi="Times New Roman;serif"/>
          <w:b w:val="false"/>
          <w:color w:val="000000"/>
          <w:sz w:val="22"/>
        </w:rPr>
        <w:t>SOFR Administrator” means the Federal Reserve Bank of New York (or a successor administrator</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of the secured overnight financing rate).</w:t>
      </w:r>
    </w:p>
    <w:p>
      <w:pPr>
        <w:pStyle w:val="TextBody"/>
        <w:bidi w:val="0"/>
        <w:spacing w:lineRule="auto" w:line="288" w:before="237" w:after="283"/>
        <w:ind w:left="0" w:right="0" w:firstLine="719"/>
        <w:jc w:val="both"/>
        <w:rPr>
          <w:color w:val="000000"/>
        </w:rPr>
      </w:pPr>
      <w:r>
        <w:rPr>
          <w:color w:val="000000"/>
        </w:rPr>
        <w:t>“</w:t>
      </w:r>
      <w:r>
        <w:rPr>
          <w:rFonts w:ascii="Times New Roman;serif" w:hAnsi="Times New Roman;serif"/>
          <w:b w:val="false"/>
          <w:color w:val="000000"/>
          <w:sz w:val="22"/>
        </w:rPr>
        <w:t>SOFR Administrator’s Website” means the website of the Federal Reserve Bank of New York, currently at http://www.newyorkfed.org, or any successor source for the secured overnight financing rate identified as such by the SOFR Administrator from time to time.</w:t>
      </w:r>
    </w:p>
    <w:p>
      <w:pPr>
        <w:pStyle w:val="TextBody"/>
        <w:bidi w:val="0"/>
        <w:spacing w:lineRule="auto" w:line="288" w:before="242" w:after="283"/>
        <w:ind w:left="0" w:right="0" w:firstLine="719"/>
        <w:jc w:val="both"/>
        <w:rPr>
          <w:color w:val="000000"/>
        </w:rPr>
      </w:pPr>
      <w:r>
        <w:rPr>
          <w:color w:val="000000"/>
        </w:rPr>
        <w:t>“</w:t>
      </w:r>
      <w:r>
        <w:rPr>
          <w:rFonts w:ascii="Times New Roman;serif" w:hAnsi="Times New Roman;serif"/>
          <w:b w:val="false"/>
          <w:color w:val="000000"/>
          <w:sz w:val="22"/>
        </w:rPr>
        <w:t>SOFR Borrowing” means a Borrowing that, except as otherwise provided in Section 2.11, bears interest at a rate based on Daily Simple SOFR.</w:t>
      </w:r>
    </w:p>
    <w:p>
      <w:pPr>
        <w:pStyle w:val="TextBody"/>
        <w:bidi w:val="0"/>
        <w:spacing w:lineRule="auto" w:line="288" w:before="238" w:after="283"/>
        <w:ind w:left="0" w:right="0" w:firstLine="719"/>
        <w:jc w:val="both"/>
        <w:rPr>
          <w:color w:val="000000"/>
        </w:rPr>
      </w:pPr>
      <w:r>
        <w:rPr>
          <w:color w:val="000000"/>
        </w:rPr>
        <w:t>“</w:t>
      </w:r>
      <w:r>
        <w:rPr>
          <w:rFonts w:ascii="Times New Roman;serif" w:hAnsi="Times New Roman;serif"/>
          <w:b w:val="false"/>
          <w:color w:val="000000"/>
          <w:sz w:val="22"/>
        </w:rPr>
        <w:t>SOFR Business Day” means any day (other than a Saturday or Sunday) on which banks generally are open in New York City, New York for the conduct of substantially all of their commercial lending activities and interbank wire transfers can be made on the Fedwire system except a day on which the Securities Industry and Financial Markets Association (SIFMA) recommends that the fixed income departments of its members be closed for the entire day for purposes of trading in United States government securities.</w:t>
      </w:r>
    </w:p>
    <w:p>
      <w:pPr>
        <w:pStyle w:val="TextBody"/>
        <w:bidi w:val="0"/>
        <w:spacing w:lineRule="auto" w:line="288" w:before="242" w:after="283"/>
        <w:ind w:left="0" w:right="0" w:firstLine="719"/>
        <w:jc w:val="both"/>
        <w:rPr>
          <w:color w:val="000000"/>
        </w:rPr>
      </w:pPr>
      <w:r>
        <w:rPr>
          <w:color w:val="000000"/>
        </w:rPr>
        <w:t>“</w:t>
      </w:r>
      <w:r>
        <w:rPr>
          <w:rFonts w:ascii="Times New Roman;serif" w:hAnsi="Times New Roman;serif"/>
          <w:b w:val="false"/>
          <w:color w:val="000000"/>
          <w:sz w:val="22"/>
        </w:rPr>
        <w:t>SOFR Loan” means a Loan that, except as otherwise provided in Section 2.11, bears interest at a rate based on Daily Simple SOFR.</w:t>
      </w:r>
    </w:p>
    <w:p>
      <w:pPr>
        <w:pStyle w:val="TextBody"/>
        <w:bidi w:val="0"/>
        <w:spacing w:lineRule="auto" w:line="288" w:before="241" w:after="283"/>
        <w:jc w:val="left"/>
        <w:rPr>
          <w:color w:val="000000"/>
        </w:rPr>
      </w:pPr>
      <w:r>
        <w:rPr>
          <w:color w:val="000000"/>
        </w:rPr>
        <w:t>“</w:t>
      </w:r>
      <w:r>
        <w:rPr>
          <w:rFonts w:ascii="Times New Roman;serif" w:hAnsi="Times New Roman;serif"/>
          <w:b w:val="false"/>
          <w:color w:val="000000"/>
          <w:sz w:val="22"/>
        </w:rPr>
        <w:t>SOFR Rate” means, as the context may require, the Daily Simple SOFR Rate or any other</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Benchmark based on or determined by reference to SOFR.</w:t>
      </w:r>
    </w:p>
    <w:p>
      <w:pPr>
        <w:pStyle w:val="TextBody"/>
        <w:bidi w:val="0"/>
        <w:spacing w:lineRule="auto" w:line="288" w:before="239" w:after="283"/>
        <w:jc w:val="left"/>
        <w:rPr>
          <w:color w:val="000000"/>
        </w:rPr>
      </w:pPr>
      <w:r>
        <w:rPr>
          <w:color w:val="000000"/>
        </w:rPr>
        <w:t>“</w:t>
      </w:r>
      <w:r>
        <w:rPr>
          <w:rFonts w:ascii="Times New Roman;serif" w:hAnsi="Times New Roman;serif"/>
          <w:b w:val="false"/>
          <w:color w:val="000000"/>
          <w:sz w:val="22"/>
        </w:rPr>
        <w:t>Stated Rate” is defined in Section 2.21.</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Subsidiary” of a Person means (i) any corporation more than 50% of the outstanding securities having ordinary voting power of which shall at the time be owned or controlled, directly or indirectly, by such Person or by one or more of its Subsidiaries or by such Person and one or more of its Subsidiaries, or</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98830"/>
                <wp:effectExtent l="0" t="0" r="0" b="0"/>
                <wp:wrapNone/>
                <wp:docPr id="38" name="Frame36"/>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252"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(ii) any partnership, limited liability company, association, joint venture or similar business organization</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98830"/>
                <wp:effectExtent l="0" t="0" r="0" b="0"/>
                <wp:wrapNone/>
                <wp:docPr id="39" name="Frame37"/>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0" w:before="79" w:after="283"/>
        <w:jc w:val="both"/>
        <w:rPr>
          <w:rFonts w:ascii="Times New Roman;serif" w:hAnsi="Times New Roman;serif"/>
          <w:b w:val="false"/>
          <w:color w:val="000000"/>
          <w:sz w:val="22"/>
        </w:rPr>
      </w:pPr>
      <w:r>
        <w:rPr>
          <w:rFonts w:ascii="Times New Roman;serif" w:hAnsi="Times New Roman;serif"/>
          <w:b w:val="false"/>
          <w:color w:val="000000"/>
          <w:sz w:val="22"/>
        </w:rPr>
        <w:t>more than 50% of the ownership interests having ordinary voting power of which shall at the time be so owned or controlled. Unless otherwise expressly provided, all references herein to a “Subsidiary” shall mean a Subsidiary of the Borrower.</w:t>
      </w:r>
    </w:p>
    <w:p>
      <w:pPr>
        <w:pStyle w:val="TextBody"/>
        <w:bidi w:val="0"/>
        <w:spacing w:lineRule="auto" w:line="288" w:before="232" w:after="283"/>
        <w:ind w:left="0" w:right="0" w:firstLine="719"/>
        <w:jc w:val="both"/>
        <w:rPr>
          <w:color w:val="000000"/>
        </w:rPr>
      </w:pPr>
      <w:r>
        <w:rPr>
          <w:color w:val="000000"/>
        </w:rPr>
        <w:t>“</w:t>
      </w:r>
      <w:r>
        <w:rPr>
          <w:rFonts w:ascii="Times New Roman;serif" w:hAnsi="Times New Roman;serif"/>
          <w:b w:val="false"/>
          <w:color w:val="000000"/>
          <w:sz w:val="22"/>
        </w:rPr>
        <w:t>Substantial Portion” means, with respect to the Property of the Borrower and its Subsidiaries, Property which represents more than 10% of the consolidated assets of the Borrower and its Subsidiaries taken as a whole or Property which is responsible for more than 10% of the Consolidated Net Income of the Borrower and its Subsidiaries taken as a whole, in each case, as would be shown in the consolidated financial statements of the Borrower and its Subsidiaries as at the beginning of the twelve-month period ending with the month in which such determination is made (or if financial statements have not been delivered hereunder for that month which begins the twelve-month period, then the financial statements delivered hereunder for the quarter ending immediately prior to that month).</w:t>
      </w:r>
    </w:p>
    <w:p>
      <w:pPr>
        <w:pStyle w:val="TextBody"/>
        <w:bidi w:val="0"/>
        <w:spacing w:lineRule="auto" w:line="288" w:before="239" w:after="283"/>
        <w:jc w:val="left"/>
        <w:rPr>
          <w:color w:val="000000"/>
        </w:rPr>
      </w:pPr>
      <w:r>
        <w:rPr>
          <w:color w:val="000000"/>
        </w:rPr>
        <w:t>“</w:t>
      </w:r>
      <w:r>
        <w:rPr>
          <w:rFonts w:ascii="Times New Roman;serif" w:hAnsi="Times New Roman;serif"/>
          <w:b w:val="false"/>
          <w:color w:val="000000"/>
          <w:sz w:val="22"/>
        </w:rPr>
        <w:t>Swap” means any agreement, contract or transaction that constitutes a “swap” within the meaning</w:t>
      </w:r>
    </w:p>
    <w:p>
      <w:pPr>
        <w:pStyle w:val="TextBody"/>
        <w:bidi w:val="0"/>
        <w:spacing w:lineRule="auto" w:line="288" w:before="4" w:after="283"/>
        <w:jc w:val="left"/>
        <w:rPr>
          <w:rFonts w:ascii="Times New Roman;serif" w:hAnsi="Times New Roman;serif"/>
          <w:b w:val="false"/>
          <w:color w:val="000000"/>
          <w:sz w:val="22"/>
        </w:rPr>
      </w:pPr>
      <w:r>
        <w:rPr>
          <w:rFonts w:ascii="Times New Roman;serif" w:hAnsi="Times New Roman;serif"/>
          <w:b w:val="false"/>
          <w:color w:val="000000"/>
          <w:sz w:val="22"/>
        </w:rPr>
        <w:t>of section 1a(47) of the Commodity Exchange Act.</w:t>
      </w:r>
    </w:p>
    <w:p>
      <w:pPr>
        <w:pStyle w:val="TextBody"/>
        <w:bidi w:val="0"/>
        <w:spacing w:lineRule="auto" w:line="280" w:before="237" w:after="283"/>
        <w:ind w:left="0" w:right="0" w:firstLine="719"/>
        <w:jc w:val="both"/>
        <w:rPr>
          <w:color w:val="000000"/>
        </w:rPr>
      </w:pPr>
      <w:r>
        <w:rPr>
          <w:color w:val="000000"/>
        </w:rPr>
        <w:t>“</w:t>
      </w:r>
      <w:r>
        <w:rPr>
          <w:rFonts w:ascii="Times New Roman;serif" w:hAnsi="Times New Roman;serif"/>
          <w:b w:val="false"/>
          <w:color w:val="000000"/>
          <w:sz w:val="22"/>
        </w:rPr>
        <w:t>Swap Obligation” means, with respect to any Person, any and all obligations, whether absolute or contingent and howsoever and whensoever created, arising, evidenced or acquired (including all renewals, extensions and modifications thereof and substitutions therefor), under (i) any and all Swaps, and (ii) any and all cancellations, buy backs, reversals, terminations or assignments of any Swap.</w:t>
      </w:r>
    </w:p>
    <w:p>
      <w:pPr>
        <w:pStyle w:val="TextBody"/>
        <w:bidi w:val="0"/>
        <w:spacing w:lineRule="auto" w:line="288" w:before="233" w:after="283"/>
        <w:jc w:val="left"/>
        <w:rPr>
          <w:color w:val="000000"/>
        </w:rPr>
      </w:pPr>
      <w:r>
        <w:rPr>
          <w:color w:val="000000"/>
        </w:rPr>
        <w:t>“</w:t>
      </w:r>
      <w:r>
        <w:rPr>
          <w:rFonts w:ascii="Times New Roman;serif" w:hAnsi="Times New Roman;serif"/>
          <w:b w:val="false"/>
          <w:color w:val="000000"/>
          <w:sz w:val="22"/>
        </w:rPr>
        <w:t>Swing Line Borrowing Notice” is defined in Section 2.4(b).</w:t>
      </w:r>
    </w:p>
    <w:p>
      <w:pPr>
        <w:pStyle w:val="TextBody"/>
        <w:bidi w:val="0"/>
        <w:spacing w:lineRule="auto" w:line="288" w:before="237" w:after="283"/>
        <w:jc w:val="left"/>
        <w:rPr>
          <w:color w:val="000000"/>
        </w:rPr>
      </w:pPr>
      <w:r>
        <w:rPr>
          <w:color w:val="000000"/>
        </w:rPr>
        <w:t>“</w:t>
      </w:r>
      <w:r>
        <w:rPr>
          <w:rFonts w:ascii="Times New Roman;serif" w:hAnsi="Times New Roman;serif"/>
          <w:b w:val="false"/>
          <w:color w:val="000000"/>
          <w:sz w:val="22"/>
        </w:rPr>
        <w:t>Swing Line Lender” means U.S. Bank or such other Lender which may succeed to its rights and</w:t>
      </w:r>
    </w:p>
    <w:p>
      <w:pPr>
        <w:pStyle w:val="TextBody"/>
        <w:bidi w:val="0"/>
        <w:spacing w:lineRule="auto" w:line="288" w:before="4" w:after="283"/>
        <w:jc w:val="left"/>
        <w:rPr>
          <w:rFonts w:ascii="Times New Roman;serif" w:hAnsi="Times New Roman;serif"/>
          <w:b w:val="false"/>
          <w:color w:val="000000"/>
          <w:sz w:val="22"/>
        </w:rPr>
      </w:pPr>
      <w:r>
        <w:rPr>
          <w:rFonts w:ascii="Times New Roman;serif" w:hAnsi="Times New Roman;serif"/>
          <w:b w:val="false"/>
          <w:color w:val="000000"/>
          <w:sz w:val="22"/>
        </w:rPr>
        <w:t>obligations as Swing Line Lender pursuant to the terms of this Agreement.</w:t>
      </w:r>
    </w:p>
    <w:p>
      <w:pPr>
        <w:pStyle w:val="TextBody"/>
        <w:bidi w:val="0"/>
        <w:spacing w:lineRule="auto" w:line="288" w:before="236" w:after="283"/>
        <w:jc w:val="left"/>
        <w:rPr>
          <w:color w:val="000000"/>
        </w:rPr>
      </w:pPr>
      <w:r>
        <w:rPr>
          <w:color w:val="000000"/>
        </w:rPr>
        <w:t>“</w:t>
      </w:r>
      <w:r>
        <w:rPr>
          <w:rFonts w:ascii="Times New Roman;serif" w:hAnsi="Times New Roman;serif"/>
          <w:b w:val="false"/>
          <w:color w:val="000000"/>
          <w:sz w:val="22"/>
        </w:rPr>
        <w:t>Swing Line Loan” means a Loan made available to the Borrower by the Swing Line Lender</w:t>
      </w:r>
    </w:p>
    <w:p>
      <w:pPr>
        <w:pStyle w:val="TextBody"/>
        <w:bidi w:val="0"/>
        <w:spacing w:lineRule="auto" w:line="288" w:before="4" w:after="283"/>
        <w:jc w:val="left"/>
        <w:rPr>
          <w:rFonts w:ascii="Times New Roman;serif" w:hAnsi="Times New Roman;serif"/>
          <w:b w:val="false"/>
          <w:color w:val="000000"/>
          <w:sz w:val="22"/>
        </w:rPr>
      </w:pPr>
      <w:r>
        <w:rPr>
          <w:rFonts w:ascii="Times New Roman;serif" w:hAnsi="Times New Roman;serif"/>
          <w:b w:val="false"/>
          <w:color w:val="000000"/>
          <w:sz w:val="22"/>
        </w:rPr>
        <w:t>pursuant to Section 2.4.</w:t>
      </w:r>
    </w:p>
    <w:p>
      <w:pPr>
        <w:pStyle w:val="TextBody"/>
        <w:bidi w:val="0"/>
        <w:spacing w:lineRule="auto" w:line="288" w:before="239" w:after="283"/>
        <w:jc w:val="left"/>
        <w:rPr>
          <w:color w:val="000000"/>
        </w:rPr>
      </w:pPr>
      <w:r>
        <w:rPr>
          <w:color w:val="000000"/>
        </w:rPr>
        <w:t>“</w:t>
      </w:r>
      <w:r>
        <w:rPr>
          <w:rFonts w:ascii="Times New Roman;serif" w:hAnsi="Times New Roman;serif"/>
          <w:b w:val="false"/>
          <w:color w:val="000000"/>
          <w:sz w:val="22"/>
        </w:rPr>
        <w:t>Swing Line Sublimit” means $0.</w:t>
      </w:r>
    </w:p>
    <w:p>
      <w:pPr>
        <w:pStyle w:val="TextBody"/>
        <w:bidi w:val="0"/>
        <w:spacing w:lineRule="auto" w:line="283" w:before="237" w:after="283"/>
        <w:ind w:left="0" w:right="0" w:firstLine="719"/>
        <w:jc w:val="both"/>
        <w:rPr>
          <w:color w:val="000000"/>
        </w:rPr>
      </w:pPr>
      <w:r>
        <w:rPr>
          <w:color w:val="000000"/>
        </w:rPr>
        <w:t>“</w:t>
      </w:r>
      <w:r>
        <w:rPr>
          <w:rFonts w:ascii="Times New Roman;serif" w:hAnsi="Times New Roman;serif"/>
          <w:b w:val="false"/>
          <w:color w:val="000000"/>
          <w:sz w:val="22"/>
        </w:rPr>
        <w:t>TARGET” means Trans-European Automated Real-time Gross Settlement Express Transfer payment system.</w:t>
      </w:r>
    </w:p>
    <w:p>
      <w:pPr>
        <w:pStyle w:val="TextBody"/>
        <w:bidi w:val="0"/>
        <w:spacing w:lineRule="atLeast" w:line="492" w:before="45" w:after="283"/>
        <w:jc w:val="left"/>
        <w:rPr>
          <w:color w:val="000000"/>
        </w:rPr>
      </w:pPr>
      <w:r>
        <w:rPr>
          <w:color w:val="000000"/>
        </w:rPr>
        <w:t>“</w:t>
      </w:r>
      <w:r>
        <w:rPr>
          <w:rFonts w:ascii="Times New Roman;serif" w:hAnsi="Times New Roman;serif"/>
          <w:b w:val="false"/>
          <w:color w:val="000000"/>
          <w:sz w:val="22"/>
        </w:rPr>
        <w:t>TARGET Day” means any day on which TARGET is open for settlement of payments in euro. “Taxes” means any and all present or future taxes, duties, levies, imposts, deductions, fees,</w:t>
      </w:r>
    </w:p>
    <w:p>
      <w:pPr>
        <w:pStyle w:val="TextBody"/>
        <w:bidi w:val="0"/>
        <w:spacing w:lineRule="atLeast" w:line="201" w:before="0" w:after="0"/>
        <w:jc w:val="left"/>
        <w:rPr>
          <w:rFonts w:ascii="Times New Roman;serif" w:hAnsi="Times New Roman;serif"/>
          <w:b w:val="false"/>
          <w:color w:val="000000"/>
          <w:sz w:val="20"/>
        </w:rPr>
      </w:pPr>
      <w:r>
        <w:rPr>
          <w:rFonts w:ascii="Times New Roman;serif" w:hAnsi="Times New Roman;serif"/>
          <w:b w:val="false"/>
          <w:color w:val="000000"/>
          <w:sz w:val="20"/>
        </w:rPr>
        <w:t>assessments, charges or withholdings, and any and all liabilities with respect to the foregoing, including</w:t>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interest, additions to tax and penalties applicable thereto.</w:t>
      </w:r>
    </w:p>
    <w:p>
      <w:pPr>
        <w:pStyle w:val="TextBody"/>
        <w:bidi w:val="0"/>
        <w:spacing w:lineRule="auto" w:line="288" w:before="241" w:after="283"/>
        <w:jc w:val="left"/>
        <w:rPr>
          <w:color w:val="000000"/>
        </w:rPr>
      </w:pPr>
      <w:r>
        <w:rPr>
          <w:color w:val="000000"/>
        </w:rPr>
        <w:t>“</w:t>
      </w:r>
      <w:r>
        <w:rPr>
          <w:rFonts w:ascii="Times New Roman;serif" w:hAnsi="Times New Roman;serif"/>
          <w:b w:val="false"/>
          <w:color w:val="000000"/>
          <w:sz w:val="22"/>
        </w:rPr>
        <w:t>Transferee” is defined in Section 12.3(e).</w:t>
      </w:r>
    </w:p>
    <w:p>
      <w:pPr>
        <w:pStyle w:val="TextBody"/>
        <w:bidi w:val="0"/>
        <w:spacing w:lineRule="auto" w:line="288" w:before="238" w:after="283"/>
        <w:jc w:val="left"/>
        <w:rPr>
          <w:color w:val="000000"/>
        </w:rPr>
      </w:pPr>
      <w:r>
        <w:rPr>
          <w:color w:val="000000"/>
        </w:rPr>
        <w:t>“</w:t>
      </w:r>
      <w:r>
        <w:rPr>
          <w:rFonts w:ascii="Times New Roman;serif" w:hAnsi="Times New Roman;serif"/>
          <w:b w:val="false"/>
          <w:color w:val="000000"/>
          <w:sz w:val="22"/>
        </w:rPr>
        <w:t>Type” means, with respect to any Borrowing, its nature as a Base Rate Borrowing or a SOFR</w:t>
      </w:r>
    </w:p>
    <w:p>
      <w:pPr>
        <w:pStyle w:val="TextBody"/>
        <w:bidi w:val="0"/>
        <w:spacing w:lineRule="auto" w:line="288" w:before="3" w:after="283"/>
        <w:jc w:val="left"/>
        <w:rPr>
          <w:rFonts w:ascii="Times New Roman;serif" w:hAnsi="Times New Roman;serif"/>
          <w:b w:val="false"/>
          <w:color w:val="000000"/>
          <w:sz w:val="22"/>
        </w:rPr>
      </w:pPr>
      <w:r>
        <w:rPr>
          <w:rFonts w:ascii="Times New Roman;serif" w:hAnsi="Times New Roman;serif"/>
          <w:b w:val="false"/>
          <w:color w:val="000000"/>
          <w:sz w:val="22"/>
        </w:rPr>
        <w:t>Borrowing and with respect to a Loan, its nature as a Base Rate Loan or a SOFR Loan.</w:t>
      </w:r>
    </w:p>
    <w:p>
      <w:pPr>
        <w:pStyle w:val="TextBody"/>
        <w:bidi w:val="0"/>
        <w:spacing w:lineRule="auto" w:line="288" w:before="237" w:after="283"/>
        <w:jc w:val="left"/>
        <w:rPr>
          <w:color w:val="000000"/>
        </w:rPr>
      </w:pPr>
      <w:r>
        <w:rPr>
          <w:color w:val="000000"/>
        </w:rPr>
        <w:t>“</w:t>
      </w:r>
      <w:r>
        <w:rPr>
          <w:rFonts w:ascii="Times New Roman;serif" w:hAnsi="Times New Roman;serif"/>
          <w:b w:val="false"/>
          <w:color w:val="000000"/>
          <w:sz w:val="22"/>
        </w:rPr>
        <w:t>Unadjusted Benchmark Replacement” means the applicable Benchmark Replacement excluding</w:t>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the related Benchmark Replacement Adjustment.</w:t>
      </w:r>
    </w:p>
    <w:p>
      <w:pPr>
        <w:pStyle w:val="TextBody"/>
        <w:bidi w:val="0"/>
        <w:spacing w:lineRule="atLeast" w:line="252" w:before="239" w:after="283"/>
        <w:jc w:val="right"/>
        <w:rPr>
          <w:color w:val="000000"/>
        </w:rPr>
      </w:pPr>
      <w:r>
        <w:rPr>
          <w:color w:val="000000"/>
        </w:rPr>
        <w:t>“</w:t>
      </w:r>
      <w:r>
        <w:rPr>
          <w:rFonts w:ascii="Times New Roman;serif" w:hAnsi="Times New Roman;serif"/>
          <w:b w:val="false"/>
          <w:color w:val="000000"/>
          <w:sz w:val="22"/>
        </w:rPr>
        <w:t>Undisclosed Administration” means in relation to a Lender the appointment of an administrator,</w:t>
      </w:r>
    </w:p>
    <w:p>
      <w:pPr>
        <w:pStyle w:val="TextBody"/>
        <w:bidi w:val="0"/>
        <w:spacing w:lineRule="atLeast" w:line="252" w:before="240" w:after="283"/>
        <w:ind w:left="0" w:right="0" w:firstLine="719"/>
        <w:jc w:val="right"/>
        <w:rPr>
          <w:rFonts w:ascii="Times New Roman;serif" w:hAnsi="Times New Roman;serif"/>
          <w:b w:val="false"/>
          <w:color w:val="000000"/>
          <w:sz w:val="22"/>
        </w:rPr>
      </w:pPr>
      <w:r>
        <w:rPr>
          <w:rFonts w:ascii="Times New Roman;serif" w:hAnsi="Times New Roman;serif"/>
          <w:b w:val="false"/>
          <w:color w:val="000000"/>
          <w:sz w:val="22"/>
        </w:rPr>
        <w:t>provisional liquidator, conservator, receiver, trustee, custodian or other similar official by a supervisory</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98830"/>
                <wp:effectExtent l="0" t="0" r="0" b="0"/>
                <wp:wrapNone/>
                <wp:docPr id="40" name="Frame38"/>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right"/>
        <w:rPr/>
      </w:pPr>
      <w:r>
        <w:rPr/>
      </w:r>
    </w:p>
    <w:p>
      <w:pPr>
        <w:pStyle w:val="TextBody"/>
        <w:bidi w:val="0"/>
        <w:spacing w:lineRule="auto" w:line="288" w:before="79" w:after="283"/>
        <w:jc w:val="left"/>
        <w:rPr>
          <w:rFonts w:ascii="Times New Roman;serif" w:hAnsi="Times New Roman;serif"/>
          <w:b w:val="false"/>
          <w:color w:val="000000"/>
          <w:sz w:val="22"/>
        </w:rPr>
      </w:pPr>
      <w:r>
        <w:rPr>
          <w:rFonts w:ascii="Times New Roman;serif" w:hAnsi="Times New Roman;serif"/>
          <w:b w:val="false"/>
          <w:color w:val="000000"/>
          <w:sz w:val="22"/>
        </w:rPr>
        <w:t>authority or regulator under or based on the law in the country where such Lender is subject to home jurisdiction supervision if applicable law requires that such appointment is not to be publicly disclosed.</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2"/>
        </w:rPr>
        <w:t>U.S. Bank” means U.S. Bank National Association, a national banking association, in its</w:t>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individual capacity, and its successors.</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Wholly-Owned Subsidiary” of a Person means (i) any Subsidiary of which 100% of the beneficial ownership interests shall at the time be owned or controlled, directly or indirectly, by such Person or one or more Wholly-Owned Subsidiaries of such Person, or by such Person and one or more Wholly-Owned Subsidiaries of such Person, or (ii) any partnership, limited liability company, association, joint venture or similar business organization of which 100% of the beneficial ownership interests shall at the time be so owned or controlled.</w:t>
      </w:r>
    </w:p>
    <w:p>
      <w:pPr>
        <w:pStyle w:val="TextBody"/>
        <w:bidi w:val="0"/>
        <w:spacing w:lineRule="auto" w:line="288" w:before="239" w:after="283"/>
        <w:ind w:left="0" w:right="0" w:firstLine="719"/>
        <w:jc w:val="both"/>
        <w:rPr>
          <w:color w:val="000000"/>
        </w:rPr>
      </w:pPr>
      <w:r>
        <w:rPr>
          <w:color w:val="000000"/>
        </w:rPr>
        <w:t>“</w:t>
      </w:r>
      <w:r>
        <w:rPr>
          <w:rFonts w:ascii="Times New Roman;serif" w:hAnsi="Times New Roman;serif"/>
          <w:b w:val="false"/>
          <w:color w:val="000000"/>
          <w:sz w:val="22"/>
        </w:rPr>
        <w:t>Write-Down and Conversion Powers”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pStyle w:val="TextBody"/>
        <w:bidi w:val="0"/>
        <w:spacing w:lineRule="auto" w:line="288"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The foregoing definitions shall be equally applicable to both the singular and plural forms of the defined terms.</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Loan Classes</w:t>
      </w:r>
      <w:r>
        <w:rPr>
          <w:rFonts w:ascii="Times New Roman;serif" w:hAnsi="Times New Roman;serif"/>
          <w:b w:val="false"/>
          <w:color w:val="000000"/>
          <w:sz w:val="22"/>
        </w:rPr>
        <w:t>. For purposes of this Agreement, Loans may be classified and referred to by Class (e.g., a “Revolving Loan”) or by Type (e.g., a “SOFR Loan”) or by Class and Type (e.g., a “SOFR Revolving Loan”). Borrowings also may be classified and referred to by Class (e.g., a “Revolving Borrowing”) or by Type (e.g., a “SOFR Borrowing”) or by Class and Type (e.g., a “SOFR Revolving Borrowing”).</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Computation of Time Periods</w:t>
      </w:r>
      <w:r>
        <w:rPr>
          <w:rFonts w:ascii="Times New Roman;serif" w:hAnsi="Times New Roman;serif"/>
          <w:b w:val="false"/>
          <w:color w:val="000000"/>
          <w:sz w:val="22"/>
        </w:rPr>
        <w:t>. In this Agreement, in the computation of a period of time from a specified date to a later specified date, unless otherwise stated the word “from” means “from and including” and the word “to” or “until” each means “to but excluding”.</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Other Definitional Terms; Interpretative Provisions</w:t>
      </w:r>
      <w:r>
        <w:rPr>
          <w:rFonts w:ascii="Times New Roman;serif" w:hAnsi="Times New Roman;serif"/>
          <w:b w:val="false"/>
          <w:color w:val="000000"/>
          <w:sz w:val="22"/>
        </w:rPr>
        <w:t>. The words “hereof,” “herein” and “hereunder” and words of similar import when used in this Agreement shall refer to this Agreement as a whole and not to any particular provision of this Agreement. References to Sections, Exhibits, schedules and like references are to this Agreement unless otherwise expressly provided. The words “include,” “includes” and “including” shall be deemed to be followed by the phrase “without limitation.” The term “shall” shall have the same meaning as the term “will”. Unless the context in which used herein otherwise clearly requires, “or” has the inclusive meaning represented by the phrase “and/or.” All incorporation by reference of covenants, terms, definitions or other provisions from other agreements are incorporated into this Agreement as if such provisions were fully set forth herein, and such incorporation shall include all necessary definitions and related provisions from such other agreements but including only amendments thereto agreed to by the Lenders, and shall survive any termination of such other agreements until the Obligations under this Agreement and the other Loan Documents are irrevocably paid in full (other than inchoate indemnity obligations and Obligations that have been Cash Collateralized), all Facility LCs have expired without renewal or been returned to LC Issuer, and the commitments of the Lenders to advance funds to the Borrower are terminated.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any successor law or regulation. References to any document, instrument or agreement (a) shall include all exhibits, schedules and other attachments thereto, (b) shall include all documents, instruments or agreements issued or executed in replacement thereof, to the extent</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98830"/>
                <wp:effectExtent l="0" t="0" r="0" b="0"/>
                <wp:wrapNone/>
                <wp:docPr id="41" name="Frame39"/>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0" w:before="79" w:after="283"/>
        <w:jc w:val="both"/>
        <w:rPr>
          <w:rFonts w:ascii="Times New Roman;serif" w:hAnsi="Times New Roman;serif"/>
          <w:b w:val="false"/>
          <w:color w:val="000000"/>
          <w:sz w:val="22"/>
        </w:rPr>
      </w:pPr>
      <w:r>
        <w:rPr>
          <w:rFonts w:ascii="Times New Roman;serif" w:hAnsi="Times New Roman;serif"/>
          <w:b w:val="false"/>
          <w:color w:val="000000"/>
          <w:sz w:val="22"/>
        </w:rPr>
        <w:t>permitted hereby and (c) shall mean such document, instrument or agreement, or replacement or predecessor thereto, as amended, supplemented, restated or otherwise modified from time to time to the extent not otherwise stated herein or prohibited hereby and in effect at any given time.</w:t>
      </w:r>
    </w:p>
    <w:p>
      <w:pPr>
        <w:pStyle w:val="TextBody"/>
        <w:bidi w:val="0"/>
        <w:spacing w:lineRule="auto" w:line="288" w:before="232" w:after="283"/>
        <w:ind w:left="0" w:right="0" w:firstLine="719"/>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Rates</w:t>
      </w:r>
      <w:r>
        <w:rPr>
          <w:rFonts w:ascii="Times New Roman;serif" w:hAnsi="Times New Roman;serif"/>
          <w:b w:val="false"/>
          <w:color w:val="000000"/>
          <w:sz w:val="22"/>
        </w:rPr>
        <w:t>. The Daily Simple SOFR Rate is determined by reference to Daily Simple SOFR, which is derived from SOFR. Section 3.3 provides a mechanism for (a) determining an alternative rate of interest if SOFR is no longer available or in the other circumstances set forth in Section 3.3 and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modifying this Agreement to give effect to such alternative rate of interest. The Administrative Agent does not warrant or accept any responsibility for, and shall not have any liability with respect to, the administration, submission, or any other matter related to SOFR or other rates in the definition of “Daily Simple SOFR” or with respect to any alternative or successor rate thereto, or replacement rate thereof (including any Benchmark Replacement), including without limitation whether any such alternative, successor, or replacement reference rate (including any Benchmark Replacement), as it may or may not be adjusted pursuant to Section 3.3(b), will have the same value as, or be economically equivalent to, Daily Simple SOFR. The Administrative Agent and its affiliates or other related entities may engage in transactions that affect the calculation of Alternate Base Rate, SOFR, Daily Simple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Daily Simple SOFR,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559" w:before="233" w:after="283"/>
        <w:ind w:left="0" w:right="0" w:hanging="2"/>
        <w:jc w:val="center"/>
        <w:rPr/>
      </w:pPr>
      <w:r>
        <w:rPr>
          <w:rFonts w:ascii="Times New Roman;serif" w:hAnsi="Times New Roman;serif"/>
          <w:b/>
          <w:color w:val="000000"/>
          <w:sz w:val="22"/>
        </w:rPr>
        <w:t xml:space="preserve">ARTICLE II </w:t>
      </w:r>
      <w:r>
        <w:rPr>
          <w:rFonts w:ascii="Times New Roman;serif" w:hAnsi="Times New Roman;serif"/>
          <w:b/>
          <w:color w:val="000000"/>
          <w:sz w:val="22"/>
          <w:u w:val="single"/>
        </w:rPr>
        <w:t>THE CREDITS</w:t>
      </w:r>
    </w:p>
    <w:p>
      <w:pPr>
        <w:pStyle w:val="TextBody"/>
        <w:bidi w:val="0"/>
        <w:spacing w:lineRule="auto" w:line="288" w:before="0" w:after="0"/>
        <w:ind w:left="0" w:right="0" w:firstLine="719"/>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Revolving Loans</w:t>
      </w:r>
      <w:r>
        <w:rPr>
          <w:rFonts w:ascii="Times New Roman;serif" w:hAnsi="Times New Roman;serif"/>
          <w:b w:val="false"/>
          <w:color w:val="000000"/>
          <w:sz w:val="22"/>
        </w:rPr>
        <w:t>. From and after the date of this Agreement and prior to the Facility Termination Date, each Lender severally agrees, on the terms and conditions set forth in this Agreement, to make Revolving Loans to the Borrower in Dollars and participate in Facility LCs issued upon the request of the Borrower, only if, after giving effect to the making of each such loan and the issuance of each such Facility L/C:</w:t>
      </w:r>
    </w:p>
    <w:p>
      <w:pPr>
        <w:pStyle w:val="TextBody"/>
        <w:bidi w:val="0"/>
        <w:spacing w:lineRule="atLeast" w:line="252" w:before="243"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(i)the Dollar amount of such Lender’s Revolving Exposure does not exceed</w:t>
      </w:r>
    </w:p>
    <w:p>
      <w:pPr>
        <w:pStyle w:val="TextBody"/>
        <w:bidi w:val="0"/>
        <w:spacing w:lineRule="atLeast" w:line="252" w:before="0" w:after="0"/>
        <w:jc w:val="left"/>
        <w:rPr>
          <w:rFonts w:ascii="Times New Roman;serif" w:hAnsi="Times New Roman;serif"/>
          <w:b w:val="false"/>
          <w:color w:val="000000"/>
          <w:sz w:val="22"/>
        </w:rPr>
      </w:pPr>
      <w:r>
        <w:rPr>
          <w:rFonts w:ascii="Times New Roman;serif" w:hAnsi="Times New Roman;serif"/>
          <w:b w:val="false"/>
          <w:color w:val="000000"/>
          <w:sz w:val="22"/>
        </w:rPr>
        <w:t>its Revolving Commitment; and</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2"/>
        </w:rPr>
        <w:t xml:space="preserve">(ii)the Aggregate Revolving Exposure does not exceed the </w:t>
      </w:r>
      <w:r>
        <w:rPr>
          <w:rFonts w:ascii="Times New Roman;serif" w:hAnsi="Times New Roman;serif"/>
          <w:b w:val="false"/>
          <w:i/>
          <w:color w:val="000000"/>
          <w:sz w:val="22"/>
          <w:u w:val="single"/>
        </w:rPr>
        <w:t>lesser of</w:t>
      </w:r>
      <w:r>
        <w:rPr>
          <w:color w:val="000000"/>
        </w:rPr>
        <w:t xml:space="preserve"> </w:t>
      </w:r>
      <w:r>
        <w:rPr>
          <w:rFonts w:ascii="Times New Roman;serif" w:hAnsi="Times New Roman;serif"/>
          <w:b w:val="false"/>
          <w:color w:val="000000"/>
          <w:sz w:val="22"/>
        </w:rPr>
        <w:t>(a) the Aggregate Revolving Commitment, and (b) the Borrowing Base.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All Loans shall be made in Dollars. Subject to the terms of this Agreement, the Borrower may borrow, repay and reborrow the Revolving Loans at any time prior to the Facility Termination Date. Unless previously terminated, the Revolving Commitment shall terminate on the Facility Termination Date. The LC Issuer will issue Facility LCs hereunder on the terms and conditions set forth in Section 2.19.</w:t>
      </w:r>
    </w:p>
    <w:p>
      <w:pPr>
        <w:pStyle w:val="TextBody"/>
        <w:bidi w:val="0"/>
        <w:spacing w:before="2"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Determination of Amounts; Required Payments; Termination</w:t>
      </w:r>
      <w:r>
        <w:rPr>
          <w:rFonts w:ascii="Times New Roman;serif" w:hAnsi="Times New Roman;serif"/>
          <w:b w:val="false"/>
          <w:color w:val="000000"/>
          <w:sz w:val="22"/>
        </w:rPr>
        <w:t xml:space="preserve">. The Administrative Agent will determine the amount of: (a) each Borrowing as of the date two (2) Business Days prior to the Borrowing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98830"/>
                <wp:effectExtent l="0" t="0" r="0" b="0"/>
                <wp:wrapNone/>
                <wp:docPr id="42" name="Frame40"/>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Date or, if applicable, date of conversion/continuation of such Borrowing, and (b) all outstanding Borrowings on and as of the last Business Day of each quarter and on any other Business Day</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98830"/>
                <wp:effectExtent l="0" t="0" r="0" b="0"/>
                <wp:wrapNone/>
                <wp:docPr id="43" name="Frame41"/>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elected by the Administrative Agent in its discretion or upon instruction by the Required Lenders. Each day upon or as of which the Administrative Agent determines amounts as described in the preceding clauses (a) and (b) is herein described as a “Computation Date” with respect to each Borrowing for which the amount is determined on or as of such day. If at any time the amount of the Aggregate Revolving Exposures exceeds the Aggregate Revolving Commitments, the Borrower shall immediately make a payment on the Loans or Cash Collateralize LC Obligations in an account with the Administrative Agent pursuant to Section 2.19(k) sufficient to eliminate such excess. The Aggregate Revolving Exposure and all other unpaid Obligations under this Agreement and the other Loan Documents shall be paid in full by the Borrower on the Facility Termination Date.</w:t>
      </w:r>
    </w:p>
    <w:p>
      <w:pPr>
        <w:pStyle w:val="TextBody"/>
        <w:bidi w:val="0"/>
        <w:spacing w:lineRule="auto" w:line="288" w:before="241" w:after="283"/>
        <w:ind w:left="0" w:right="0" w:firstLine="719"/>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Ratable Loans; Types of Borrowings</w:t>
      </w:r>
      <w:r>
        <w:rPr>
          <w:rFonts w:ascii="Times New Roman;serif" w:hAnsi="Times New Roman;serif"/>
          <w:b w:val="false"/>
          <w:color w:val="000000"/>
          <w:sz w:val="22"/>
        </w:rPr>
        <w:t>. Each Borrowing hereunder (other than any Swing Line Loan) shall consist of Revolving Loans made from the several Lenders ratably according to their Pro Rata Shares. The Borrowings may be Base Rate Borrowings, SOFR Borrowings, or a combination thereof, selected by the Borrower in accordance with Sections 2.8 and 2.9, or Swing Line Loans selected by the Borrower in accordance with Section 2.4.</w:t>
      </w:r>
    </w:p>
    <w:p>
      <w:pPr>
        <w:pStyle w:val="TextBody"/>
        <w:bidi w:val="0"/>
        <w:spacing w:lineRule="auto" w:line="288" w:before="242" w:after="283"/>
        <w:ind w:left="0" w:right="0" w:hanging="720"/>
        <w:jc w:val="left"/>
        <w:rPr/>
      </w:pPr>
      <w:r>
        <w:rPr>
          <w:rFonts w:ascii="Times New Roman;serif" w:hAnsi="Times New Roman;serif"/>
          <w:b w:val="false"/>
          <w:color w:val="000000"/>
          <w:sz w:val="22"/>
        </w:rPr>
        <w:t>1.3.</w:t>
      </w:r>
      <w:r>
        <w:rPr>
          <w:rFonts w:ascii="Times New Roman;serif" w:hAnsi="Times New Roman;serif"/>
          <w:b w:val="false"/>
          <w:color w:val="000000"/>
          <w:sz w:val="22"/>
          <w:u w:val="single"/>
        </w:rPr>
        <w:t>Swing Line Loans</w:t>
      </w:r>
      <w:r>
        <w:rPr>
          <w:rFonts w:ascii="Times New Roman;serif" w:hAnsi="Times New Roman;serif"/>
          <w:b w:val="false"/>
          <w:color w:val="000000"/>
          <w:sz w:val="22"/>
        </w:rPr>
        <w:t>.</w:t>
      </w:r>
    </w:p>
    <w:p>
      <w:pPr>
        <w:pStyle w:val="TextBody"/>
        <w:bidi w:val="0"/>
        <w:spacing w:lineRule="auto" w:line="288" w:before="237"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(a)Amount of Swing Line Loans; Interest Rate. Upon the satisfaction of the conditions precedent set forth in Section 4.2 and, if such Swing Line Loan is to be made on the date of the initial Borrowing hereunder, the satisfaction of the conditions precedent set forth in Section 4.1 as well, from and including the date of this Agreement and prior to the Facility Termination Date, the Swing Line Lender may, at its option, on the terms and conditions set forth in this Agreement, make Swing Line Loans in Dollars to the Borrower from time to time in an aggregate principal amount not to exceed the Swing Line Sublimit, provided that the Aggregate Revolving Exposure shall not at any time exceed the Aggregate Revolving Commitment, and provided further that at no time shall the sum of (i) the Swing Line Loans, plus (ii) the outstanding Revolving Loans made by the Swing Line Lender pursuant to Section 2.1, plus (iii) the Swing Line Lender’s Pro Rata Share of the LC Obligations, exceed the Swing Line Lender’s Revolving Commitment at such time. Subject to the terms of this Agreement (including, without limitation the discretion of the Swing Line Lender), the Borrower may borrow, repay and reborrow Swing Line Loans at any time prior to the Facility Termination Date. Swing Line Loans shall accrue interest at the Base Rate and shall be subject to the other conditions and limitations set forth in this Article II.</w:t>
      </w:r>
    </w:p>
    <w:p>
      <w:pPr>
        <w:pStyle w:val="TextBody"/>
        <w:bidi w:val="0"/>
        <w:spacing w:lineRule="auto" w:line="288"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(b)Borrowing Notice. In order to borrow a Swing Line Loan, the Borrower shall deliver to the Administrative Agent and the Swing Line Lender irrevocable notice (a “Swing Line Borrowing Notice”) not later than noon (Pacific Standard Time) on the Borrowing Date of each Swing Line Loan, specifying (i) the applicable Borrowing Date (which date shall be a Business Day), and (ii) the aggregate amount of the requested Swing Line Loan.</w:t>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Making of Swing Line Loans; Participations. Not later than 2:00 p.m. (Pacific Standard Time) on the applicable Borrowing Date, the Swing Line Lender shall make available the Swing Line Loan, in funds immediately available, to the Administrative Agent at its address specified pursuant to Article XIII. The Administrative Agent will promptly make the funds so received from the Swing Line Lender available to the Borrower on the Borrowing Date at the Administrative Agent’s aforesaid address. Each Swing Line Loan shall be refinanced into a Revolving Loan within 10 Business Days and, upon such refinance, the Swing Line Lender shall be deemed, without further action by any party hereto, to have unconditionally and irrevocably sold to each Lender and each Lender shall be deemed, without further action by any party hereto, to have unconditionally and irrevocably purchased from the Swing Line Lender, a participation in such Revolving Loan in proportion to its Pro Rata Share. Swing Line Loans may not be refinanced by the Swing Line Lender into other Swing Line Loans.</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98830"/>
                <wp:effectExtent l="0" t="0" r="0" b="0"/>
                <wp:wrapNone/>
                <wp:docPr id="44" name="Frame42"/>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(c)Repayment of Swing Line Loans. Each Swing Line Loan (including, without limitation, any interest accrued and unpaid thereon) shall be paid in full by the Borrower on the date selected by the Administrative Agent. In addition, the Swing Line Lender may at any time in its sole discretion with respect to any outstanding Swing Line Loan, require each Lender to fund the participation acquired by such Lender pursuant to Section 2.4(c) or require each Lender (including the Swing Line Lender) to make a Revolving Loan in the amount of such Lender’s Pro Rata Share of such Swing Line Loan (including, without limitation, any interest accrued and unpaid thereon), for the purpose of repaying such Swing Line Loan. Not later than 1:00 p.m. (Pacific Standard Time) on the date of any notice received pursuant to this Section 2.4(d), each Lender shall make available its required Revolving Loan, in funds immediately available to the Administrative Agent at its address specified pursuant to Article XIII. Unless a Lender shall have notified the Swing Line Lender, prior to the Swing Line Lender’s making any Swing Line Loan, that any applicable condition precedent set forth in Sections 4.1 or 4.2 had not then been satisfied, such Lender’s obligation to make Revolving Loans pursuant to this Section 2.4(d) to repay Swing Line Loans or to fund the participation acquired pursuant to Section 2.4(c) shall be unconditional, continuing, irrevocable and absolute and shall not be affected by any circumstances, including, without limitation, (a) any set-off, counterclaim, recoupment, defense or other right which such Lender may have against the Borrower, the Administrative Agent, the Swing Line Lender or any other Person, (b) the occurrence or continuance of a Default or Event of Default, (c) any adverse change in the condition (financial or otherwise) of the Borrower, or (d) any other circumstances, happening or event whatsoever. In the event that any Lender fails to make payment to the Administrative Agent of any amount due under this Section 2.4(d), interest shall accrue thereon at the Federal Funds Effective Rate for each day during the period commencing on the date of demand and ending on the date such amount is received and the Administrative Agent shall be entitled to receive, retain and apply against such obligation the principal and interest otherwise payable to such Lender hereunder until the Administrative Agent receives such payment from such Lender or such obligation is otherwise fully satisfied. On the Facility Termination Date, the Borrower shall repay in full the outstanding principal balance of the Swing Line Loans, including any accrued and unpaid interest thereon.</w:t>
      </w:r>
    </w:p>
    <w:p>
      <w:pPr>
        <w:pStyle w:val="TextBody"/>
        <w:bidi w:val="0"/>
        <w:spacing w:lineRule="auto" w:line="288" w:before="241" w:after="283"/>
        <w:ind w:left="0" w:right="0" w:firstLine="719"/>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Fees</w:t>
      </w:r>
      <w:r>
        <w:rPr>
          <w:rFonts w:ascii="Times New Roman;serif" w:hAnsi="Times New Roman;serif"/>
          <w:b w:val="false"/>
          <w:color w:val="000000"/>
          <w:sz w:val="22"/>
        </w:rPr>
        <w:t>. The Borrower shall pay to each Lender a commitment fee (the “Commitment Fee”) at a per annum rate equal to one quarter of one percent (.25%) of the Lender’s Revolving Commitment from the Seventh Amendment Date until the Facility Termination Date, payable in arrears on each Interest Payment Date for a SOFR Loan or Payment Date for a Base Rate Loan.</w:t>
      </w:r>
    </w:p>
    <w:p>
      <w:pPr>
        <w:pStyle w:val="TextBody"/>
        <w:bidi w:val="0"/>
        <w:spacing w:lineRule="auto" w:line="288" w:before="241" w:after="283"/>
        <w:ind w:left="0" w:right="0" w:firstLine="719"/>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Minimum Amount of Each SOFR Borrowing</w:t>
      </w:r>
      <w:r>
        <w:rPr>
          <w:rFonts w:ascii="Times New Roman;serif" w:hAnsi="Times New Roman;serif"/>
          <w:b w:val="false"/>
          <w:color w:val="000000"/>
          <w:sz w:val="22"/>
        </w:rPr>
        <w:t>. Each SOFR Borrowing shall be in the minimum amount of $500,000; provided that a SOFR Borrowing may be in the amount of the Available Aggregate Revolving Commitment.</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Optional Principal Payments</w:t>
      </w:r>
      <w:r>
        <w:rPr>
          <w:rFonts w:ascii="Times New Roman;serif" w:hAnsi="Times New Roman;serif"/>
          <w:b w:val="false"/>
          <w:color w:val="000000"/>
          <w:sz w:val="22"/>
        </w:rPr>
        <w:t>. The Borrower may from time to time pay, without penalty or premium, all outstanding Base Rate Borrowings (other than Swing Line Loans), or, in a minimum aggregate amount of $100,000 and incremental amounts in integral multiples of $100,000 (or the aggregate amount of the outstanding Revolving Loans at such time), any portion of the aggregate outstanding Base Rate Borrowings (other than Swing Line Loans) upon same day notice by 10:00 a.m. (Pacific Standard Time) to the Administrative Agent. The Borrower may at any time pay, without penalty or premium, all outstanding Swing Line Loans, or any portion of the outstanding Swing Line Loans, with notice to the Administrative Agent and the Swing Line Lender by 10:00 a.m. (Pacific Standard Time) on the date of repayment. The Borrower may from time to time pay, without penalty or premium, all outstanding SOFR Loans (other than Swing Line Loans), or, in a minimum aggregate amount of $100,000 and incremental amounts in integral multiples of $100,000 (or the aggregate amount of the outstanding SOFR Loans at such time), any portion of the aggregate outstanding SOFR Loans (other than Swing Line Loans) upon same day notice by 10:00 a.m. (Pacific Standard Time) to the Administrative Agent.</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98830"/>
                <wp:effectExtent l="0" t="0" r="0" b="0"/>
                <wp:wrapNone/>
                <wp:docPr id="45" name="Frame43"/>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19"/>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Method of Selecting Types and Interest Periods for New Revolving Borrowings</w:t>
      </w:r>
      <w:r>
        <w:rPr>
          <w:rFonts w:ascii="Times New Roman;serif" w:hAnsi="Times New Roman;serif"/>
          <w:b w:val="false"/>
          <w:color w:val="000000"/>
          <w:sz w:val="22"/>
        </w:rPr>
        <w:t>. The Borrower shall select the Type of Borrowing applicable thereto from time to time. The Borrower shall give the Administrative Agent irrevocable notice in the form of Exhibit D (a “Borrowing Notice”) not later than 10:00 a.m. (Pacific Standard Time) on the Borrowing Date of each Base Rate Revolving Borrowing (other than a Swing Line Loan) and each SOFR Loan:</w:t>
      </w:r>
    </w:p>
    <w:p>
      <w:pPr>
        <w:pStyle w:val="TextBody"/>
        <w:bidi w:val="0"/>
        <w:spacing w:lineRule="auto" w:line="288" w:before="242"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(i)the Borrowing Date, which shall be a Business Day, of such Borrowing,</w:t>
      </w:r>
    </w:p>
    <w:p>
      <w:pPr>
        <w:pStyle w:val="TextBody"/>
        <w:bidi w:val="0"/>
        <w:spacing w:lineRule="auto" w:line="288" w:before="239"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(ii)the aggregate amount of such Borrowing, and</w:t>
      </w:r>
    </w:p>
    <w:p>
      <w:pPr>
        <w:pStyle w:val="TextBody"/>
        <w:bidi w:val="0"/>
        <w:spacing w:lineRule="auto" w:line="288" w:before="241"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(iii)the Type of Borrowing selected.</w:t>
      </w:r>
    </w:p>
    <w:p>
      <w:pPr>
        <w:pStyle w:val="TextBody"/>
        <w:bidi w:val="0"/>
        <w:spacing w:lineRule="auto" w:line="288" w:before="237" w:after="283"/>
        <w:jc w:val="both"/>
        <w:rPr>
          <w:rFonts w:ascii="Times New Roman;serif" w:hAnsi="Times New Roman;serif"/>
          <w:b w:val="false"/>
          <w:color w:val="000000"/>
          <w:sz w:val="22"/>
        </w:rPr>
      </w:pPr>
      <w:r>
        <w:rPr>
          <w:rFonts w:ascii="Times New Roman;serif" w:hAnsi="Times New Roman;serif"/>
          <w:b w:val="false"/>
          <w:color w:val="000000"/>
          <w:sz w:val="22"/>
        </w:rPr>
        <w:t>Not later than 1:00 p.m. (Pacific Standard Time) on each Borrowing Date, each Lender shall make available its Loan or Loans in funds immediately available to the Administrative Agent at its address specified pursuant to Article XIII. The Administrative Agent will make the funds so received from the Lenders available to the Borrower at the Administrative Agent’s aforesaid address.</w:t>
      </w:r>
    </w:p>
    <w:p>
      <w:pPr>
        <w:pStyle w:val="TextBody"/>
        <w:bidi w:val="0"/>
        <w:spacing w:lineRule="auto" w:line="288" w:before="242" w:after="283"/>
        <w:ind w:left="0" w:right="0" w:firstLine="719"/>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Conversion and Continuation of Outstanding Borrowings; Maximum Number of Interest</w:t>
      </w:r>
      <w:r>
        <w:rPr>
          <w:color w:val="000000"/>
        </w:rPr>
        <w:t xml:space="preserve"> </w:t>
      </w:r>
      <w:r>
        <w:rPr>
          <w:rFonts w:ascii="Times New Roman;serif" w:hAnsi="Times New Roman;serif"/>
          <w:b w:val="false"/>
          <w:color w:val="000000"/>
          <w:sz w:val="22"/>
          <w:u w:val="single"/>
        </w:rPr>
        <w:t>Periods</w:t>
      </w:r>
      <w:r>
        <w:rPr>
          <w:rFonts w:ascii="Times New Roman;serif" w:hAnsi="Times New Roman;serif"/>
          <w:b w:val="false"/>
          <w:color w:val="000000"/>
          <w:sz w:val="22"/>
        </w:rPr>
        <w:t>. Base Rate Borrowings and SOFR Borrowings shall continue as Base Rate Borrowings and SOFR Borrowings, respectively, unless and until such Borrowings are converted pursuant to this Section 2.9 or are repaid in accordance with Section 2.7. Subject to the terms of Section 2.6, the Borrower may elect from time to time to convert all or any part of a Base Rate Borrowing into a SOFR Borrowing or a SOFR Borrowing into a Base Rate Borrowing. The Borrower shall give the Administrative Agent irrevocable notice in the form of Exhibit D-2 (a “Conversion Notice”) of each conversion of a Base Rate Borrowing into a SOFR Borrowing or conversion of a SOFR Borrowing to a Base Rate Borrowing not later than 10:00</w:t>
      </w:r>
    </w:p>
    <w:p>
      <w:pPr>
        <w:pStyle w:val="TextBody"/>
        <w:bidi w:val="0"/>
        <w:spacing w:lineRule="auto" w:line="283" w:before="0" w:after="0"/>
        <w:jc w:val="both"/>
        <w:rPr>
          <w:rFonts w:ascii="Times New Roman;serif" w:hAnsi="Times New Roman;serif"/>
          <w:b w:val="false"/>
          <w:color w:val="000000"/>
          <w:sz w:val="22"/>
        </w:rPr>
      </w:pPr>
      <w:r>
        <w:rPr>
          <w:rFonts w:ascii="Times New Roman;serif" w:hAnsi="Times New Roman;serif"/>
          <w:b w:val="false"/>
          <w:color w:val="000000"/>
          <w:sz w:val="22"/>
        </w:rPr>
        <w:t>a.m. (Pacific Standard Time) at least two (2) Business Days prior to the date of the requested conversion or continuation, specifying:</w:t>
      </w:r>
    </w:p>
    <w:p>
      <w:pPr>
        <w:pStyle w:val="TextBody"/>
        <w:bidi w:val="0"/>
        <w:spacing w:lineRule="auto" w:line="288" w:before="232"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(i)the requested date, which shall be a Business Day, of such conversion,</w:t>
      </w:r>
    </w:p>
    <w:p>
      <w:pPr>
        <w:pStyle w:val="TextBody"/>
        <w:bidi w:val="0"/>
        <w:spacing w:lineRule="auto" w:line="288" w:before="239"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(ii)the Type of the Borrowing which is to be converted, and</w:t>
      </w:r>
    </w:p>
    <w:p>
      <w:pPr>
        <w:pStyle w:val="TextBody"/>
        <w:bidi w:val="0"/>
        <w:spacing w:lineRule="auto" w:line="288" w:before="242"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(iii)the amount of such Borrowing which is to be converted.</w:t>
      </w:r>
    </w:p>
    <w:p>
      <w:pPr>
        <w:pStyle w:val="TextBody"/>
        <w:bidi w:val="0"/>
        <w:spacing w:lineRule="auto" w:line="288" w:before="236"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in this Agreement, any Lender may exchange, continue or roll over all or a portion of its Loans in connection with any refinancing, extension, loan modification or similar transaction permitted by the terms of this Agreement, pursuant to a cashless settlement mechanism approved by the Borrower, the Administrative Agent and such Lender.</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Interest Rates</w:t>
      </w:r>
      <w:r>
        <w:rPr>
          <w:rFonts w:ascii="Times New Roman;serif" w:hAnsi="Times New Roman;serif"/>
          <w:b w:val="false"/>
          <w:color w:val="000000"/>
          <w:sz w:val="22"/>
        </w:rPr>
        <w:t>. Each Base Rate Loan shall bear interest on the outstanding principal amount thereof, for each day from the date such Loan is made or is automatically converted into a Base Rate Loan pursuant to Section 2.9, to the date it is paid or is converted into a SOFR Loan pursuant to Section 2.9, at a rate per annum equal to the Base Rate for such day. Each Swingline Loan shall bear interest on the outstanding principal amount thereof, for each day from the day such Swingline Loan is made to the date it is paid, at a rate per annum equal to the Base Rate for such day. Changes in the rate of interest on each Base Rate Borrowing will take effect simultaneously with each change in the Alternate Base Rate. Each SOFR Loan shall bear interest on the outstanding principal amount thereof from the day such SOFR Loan is made to the date it is paid at the interest rate determined by the Administrative Agent as applicable to such SOFR Loan based upon the Borrower’s selections under Sections 2.8 and 2.9 and the Applicable Margin.</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98830"/>
                <wp:effectExtent l="0" t="0" r="0" b="0"/>
                <wp:wrapNone/>
                <wp:docPr id="46" name="Frame44"/>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19"/>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Rates Applicable After Event of Default</w:t>
      </w:r>
      <w:r>
        <w:rPr>
          <w:rFonts w:ascii="Times New Roman;serif" w:hAnsi="Times New Roman;serif"/>
          <w:b w:val="false"/>
          <w:color w:val="000000"/>
          <w:sz w:val="22"/>
        </w:rPr>
        <w:t>. Notwithstanding anything to the contrary contained in Sections 2.8, 2.9, or 2.10, during the continuance of a Default or Event of Default the Required Lenders may, at their option, by notice from the Administrative Agent to the Borrower (which notice may be revoked at the option of the Required Lenders notwithstanding any provision of Section 8.3 requiring unanimous consent of the Lenders to changes in interest rates), declare that no Borrowing may be made as, converted into or continued as a SOFR Borrowing. During the continuance of an Event of Default the Required Lenders may, at their option, by notice from the Administrative Agent to the Borrower (which notice may be revoked at the option of the Required Lenders notwithstanding any provision of Section 8.3 requiring unanimous consent of the Lenders to changes in interest rates), declare that (i) each SOFR Borrowing shall bear interest at the rate otherwise applicable plus 2.00% per annum, (ii) each Base Rate Borrowing shall bear interest at a rate per annum equal to the Base Rate in effect from time to time plus 2.00% per annum, and (iii) the LC Fee shall be increased by 2.00% per annum, provided that, during the continuance of an Event of Default under Sections 7.2, 7.6 or 7.7, the interest rates set forth in clauses (i) and (ii) above and the increase in the LC Fee set forth in clause (iii) above shall be applicable automatically to all Credit Extensions without any election or action on the part of the Administrative Agent or any Lender. After an Event of Default has been waived, the interest rate applicable to Borrowings and the LC Fee shall revert to the rates applicable prior to the occurrence of an Event of Default.</w:t>
      </w:r>
    </w:p>
    <w:p>
      <w:pPr>
        <w:pStyle w:val="TextBody"/>
        <w:bidi w:val="0"/>
        <w:spacing w:lineRule="auto" w:line="288" w:before="243" w:after="283"/>
        <w:ind w:left="0" w:right="0" w:hanging="720"/>
        <w:jc w:val="left"/>
        <w:rPr/>
      </w:pPr>
      <w:r>
        <w:rPr>
          <w:rFonts w:ascii="Times New Roman;serif" w:hAnsi="Times New Roman;serif"/>
          <w:b w:val="false"/>
          <w:color w:val="000000"/>
          <w:sz w:val="22"/>
        </w:rPr>
        <w:t>1.9.</w:t>
      </w:r>
      <w:r>
        <w:rPr>
          <w:rFonts w:ascii="Times New Roman;serif" w:hAnsi="Times New Roman;serif"/>
          <w:b w:val="false"/>
          <w:color w:val="000000"/>
          <w:sz w:val="22"/>
          <w:u w:val="single"/>
        </w:rPr>
        <w:t>Method of Payment</w:t>
      </w:r>
      <w:r>
        <w:rPr>
          <w:rFonts w:ascii="Times New Roman;serif" w:hAnsi="Times New Roman;serif"/>
          <w:b w:val="false"/>
          <w:color w:val="000000"/>
          <w:sz w:val="22"/>
        </w:rPr>
        <w:t>.</w:t>
      </w:r>
    </w:p>
    <w:p>
      <w:pPr>
        <w:pStyle w:val="TextBody"/>
        <w:bidi w:val="0"/>
        <w:spacing w:lineRule="auto" w:line="288" w:before="236"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(a)Each Loan shall be repaid, and each payment of interest thereon shall be paid, in the currency in which such Loan was made. All payments of the Obligations under this Agreement and the other Loan Documents shall be made, without setoff, deduction, or counterclaim, in immediately available funds to the Administrative Agent at its address specified pursuant to Article XIII, or at any other address specified in writing by the Administrative Agent to the Borrower, by noon (Pacific Standard time) on the date when due and shall (except (i) with respect to repayments of Swingline Loans, (ii) in the case of Reimbursement Obligations for which the Issuing Banks have not been fully indemnified by the Revolving Lenders, or (iii) as otherwise specifically required hereunder) be applied ratably by the Administrative Agent among the Lenders. Each payment delivered to the Administrative Agent for the account of any Lender shall be delivered promptly by the Administrative Agent to such Lender in the same type of funds that the Administrative Agent received at its address specified pursuant to Article XIII. The Administrative Agent is hereby authorized to charge the account of the Borrower maintained with U.S. Bank for each payment of principal, interest, Reimbursement Obligations and fees as it becomes due hereunder. Each reference to the Administrative Agent in this Section 2.12(a) shall also be deemed to refer, and shall apply equally, to the Issuing Banks, in the case of payments required to be made by the Borrower to the Issuing Banks pursuant to Section 2.19(f).</w:t>
      </w:r>
    </w:p>
    <w:p>
      <w:pPr>
        <w:pStyle w:val="TextBody"/>
        <w:bidi w:val="0"/>
        <w:spacing w:lineRule="auto" w:line="280" w:before="242"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(b)The Borrower hereby unconditionally promises to pay to the Administrative Agent for the account of each Lender the then unpaid principal amount of each Revolving Loan on the Facility Termination Date.</w:t>
      </w:r>
    </w:p>
    <w:p>
      <w:pPr>
        <w:pStyle w:val="TextBody"/>
        <w:bidi w:val="0"/>
        <w:spacing w:lineRule="auto" w:line="288" w:before="234" w:after="283"/>
        <w:ind w:left="0" w:right="0" w:hanging="720"/>
        <w:jc w:val="left"/>
        <w:rPr/>
      </w:pPr>
      <w:r>
        <w:rPr>
          <w:rFonts w:ascii="Times New Roman;serif" w:hAnsi="Times New Roman;serif"/>
          <w:b w:val="false"/>
          <w:color w:val="000000"/>
          <w:sz w:val="22"/>
        </w:rPr>
        <w:t>1.10.</w:t>
      </w:r>
      <w:r>
        <w:rPr>
          <w:rFonts w:ascii="Times New Roman;serif" w:hAnsi="Times New Roman;serif"/>
          <w:b w:val="false"/>
          <w:color w:val="000000"/>
          <w:sz w:val="22"/>
          <w:u w:val="single"/>
        </w:rPr>
        <w:t>Noteless Agreement; Evidence of Indebtedness</w:t>
      </w:r>
      <w:r>
        <w:rPr>
          <w:rFonts w:ascii="Times New Roman;serif" w:hAnsi="Times New Roman;serif"/>
          <w:b w:val="false"/>
          <w:color w:val="000000"/>
          <w:sz w:val="22"/>
        </w:rPr>
        <w:t>.</w:t>
      </w:r>
    </w:p>
    <w:p>
      <w:pPr>
        <w:pStyle w:val="TextBody"/>
        <w:bidi w:val="0"/>
        <w:spacing w:lineRule="auto" w:line="280" w:before="238"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98830"/>
                <wp:effectExtent l="0" t="0" r="0" b="0"/>
                <wp:wrapNone/>
                <wp:docPr id="47" name="Frame45"/>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The Administrative Agent shall also maintain accounts in which it will record (i) the amount of each Loan made hereunder and Type thereof and the Interest Period with respect thereto, (ii) the amount of any principal or interest due and payable or to become due and payable from the Borrower to</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98830"/>
                <wp:effectExtent l="0" t="0" r="0" b="0"/>
                <wp:wrapNone/>
                <wp:docPr id="48" name="Frame46"/>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0" w:before="79" w:after="283"/>
        <w:jc w:val="both"/>
        <w:rPr>
          <w:rFonts w:ascii="Times New Roman;serif" w:hAnsi="Times New Roman;serif"/>
          <w:b w:val="false"/>
          <w:color w:val="000000"/>
          <w:sz w:val="22"/>
        </w:rPr>
      </w:pPr>
      <w:r>
        <w:rPr>
          <w:rFonts w:ascii="Times New Roman;serif" w:hAnsi="Times New Roman;serif"/>
          <w:b w:val="false"/>
          <w:color w:val="000000"/>
          <w:sz w:val="22"/>
        </w:rPr>
        <w:t>each Lender hereunder, (iii) the original stated amount of each Facility LC and the amount of LC Obligations outstanding at any time, and (iv) the amount of any sum received by the Administrative Agent hereunder from the Borrower and each Lender’s share thereof.</w:t>
      </w:r>
    </w:p>
    <w:p>
      <w:pPr>
        <w:pStyle w:val="TextBody"/>
        <w:bidi w:val="0"/>
        <w:spacing w:lineRule="auto" w:line="288" w:before="232"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(b)The entries maintained in the accounts maintained pursuant to paragraphs (a) and (b) above shall be prima facie evidence of the existence and amounts of the Obligations therein recorded; provided, however, that the failure of the Administrative Agent or any Lender to maintain such accounts or any error therein shall not in any manner affect the obligation of the Borrower to repay the Obligations in accordance with their terms.</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(c)Upon written request of a Lender, such Lender’s Loans (including the Swing Line Lender) will be evidenced by a promissory note representing its Revolving Loans, and Swing Line Loans, respectively, substantially in the form of Exhibit E (with appropriate changes for notes evidencing Swing Line Loans) (each a “Note”). In such event, the Borrower shall prepare, execute and deliver to each Lender such Note or Notes payable to the order of such Lender in a form supplied by the Administrative Agent. The Loans evidenced by such Notes and interest thereon shall at all times (prior to any assignment pursuant to Section 12.3) be represented by one or more Notes payable to the order of the payee named therein, except to the extent that any such Lender subsequently returns any such Note for cancellation and requests that such Loans once again be evidenced as described in clauses (b) (i) and (ii) above.</w:t>
      </w:r>
    </w:p>
    <w:p>
      <w:pPr>
        <w:pStyle w:val="TextBody"/>
        <w:bidi w:val="0"/>
        <w:spacing w:lineRule="auto" w:line="288" w:before="242" w:after="283"/>
        <w:ind w:left="0" w:right="0" w:firstLine="719"/>
        <w:jc w:val="both"/>
        <w:rPr/>
      </w:pPr>
      <w:r>
        <w:rPr>
          <w:rFonts w:ascii="Times New Roman;serif" w:hAnsi="Times New Roman;serif"/>
          <w:b w:val="false"/>
          <w:color w:val="000000"/>
          <w:sz w:val="22"/>
        </w:rPr>
        <w:t>1.11.</w:t>
      </w:r>
      <w:r>
        <w:rPr>
          <w:rFonts w:ascii="Times New Roman;serif" w:hAnsi="Times New Roman;serif"/>
          <w:b w:val="false"/>
          <w:color w:val="000000"/>
          <w:sz w:val="22"/>
          <w:u w:val="single"/>
        </w:rPr>
        <w:t>Telephonic Notices</w:t>
      </w:r>
      <w:r>
        <w:rPr>
          <w:rFonts w:ascii="Times New Roman;serif" w:hAnsi="Times New Roman;serif"/>
          <w:b w:val="false"/>
          <w:color w:val="000000"/>
          <w:sz w:val="22"/>
        </w:rPr>
        <w:t>. The Borrower hereby authorizes the Lenders and the Administrative Agent to extend, convert or continue Borrowings, effect selections of Agreed Currencies and Types of Borrowings and to transfer funds based on telephonic notices made by any Person or Persons the Administrative Agent or any Lender in good faith believes to be acting on behalf of the Borrower, it being understood that the foregoing authorization is specifically intended to allow Borrowing Notices and Conversion/Continuation Notices to be given telephonically. The Borrower agrees to deliver promptly to the Administrative Agent a written confirmation (which may include e-mail) of each telephonic notice authenticated by an Authorized Officer. If the written confirmation differs in any material respect from the action taken by the Administrative Agent and the Lenders, the records of the Administrative Agent and the Lenders shall govern absent manifest error. The parties agree to prepare appropriate documentation to correct any such error within ten (10) days after discovery by any party to this Agreement.</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Interest Payment Dates; Interest and Fee Basis</w:t>
      </w:r>
      <w:r>
        <w:rPr>
          <w:rFonts w:ascii="Times New Roman;serif" w:hAnsi="Times New Roman;serif"/>
          <w:b w:val="false"/>
          <w:color w:val="000000"/>
          <w:sz w:val="22"/>
        </w:rPr>
        <w:t>. Interest accrued on each Base Rate Loan and each Swingline Loan shall be payable on each Payment Date, commencing with the first Payment Date to occur after the Closing Date, on the date of any prepayment of such Loan (whether or not as a result of acceleration) on the amount prepaid, and on the Facility Termination Date. Interest accrued on each SOFR Loan shall be payable on each Interest Payment Date, commencing with the first such Interest Payment Date to occur after the Closing Date, on the date of any prepayment of such Loan (whether or not as a result of acceleration) on the amount prepaid, and on the Facility Termination Date. Interest accrued pursuant to Section 2.11 is payable on demand. Interest and fees hereunder shall be calculated for actual days elapsed on the basis of a 360-day year, except that interest computed by reference to the Alternate Base Rate shall be calculated for actual days elapsed on the basis of a 365/366-day year. All interest hereunder on any Loan shall be computed on a daily basis based upon the outstanding principal amount of such Loan as of the applicable date of determination. Interest shall be payable for the day a Loan is made but not for the day of any payment on the amount paid if payment is received before noon (Pacific Standard time). If any payment of principal of or interest on a Loan becomes due on a day that is not a Business Day, such payment shall be made on the immediately succeeding Business Day unless such succeeding Business Day falls in a new calendar month, in which case such interest or principal shall be payable on the immediately preceding Business Day.</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98830"/>
                <wp:effectExtent l="0" t="0" r="0" b="0"/>
                <wp:wrapNone/>
                <wp:docPr id="49" name="Frame47"/>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19"/>
        <w:jc w:val="both"/>
        <w:rPr/>
      </w:pPr>
      <w:r>
        <w:rPr>
          <w:rFonts w:ascii="Times New Roman;serif" w:hAnsi="Times New Roman;serif"/>
          <w:b w:val="false"/>
          <w:color w:val="000000"/>
          <w:sz w:val="22"/>
        </w:rPr>
        <w:t>1.12.</w:t>
      </w:r>
      <w:r>
        <w:rPr>
          <w:rFonts w:ascii="Times New Roman;serif" w:hAnsi="Times New Roman;serif"/>
          <w:b w:val="false"/>
          <w:color w:val="000000"/>
          <w:sz w:val="22"/>
          <w:u w:val="single"/>
        </w:rPr>
        <w:t>Notification of Borrowings, Interest Rates, Prepayments and Revolving Commitment</w:t>
      </w:r>
      <w:r>
        <w:rPr>
          <w:color w:val="000000"/>
        </w:rPr>
        <w:t xml:space="preserve"> </w:t>
      </w:r>
      <w:r>
        <w:rPr>
          <w:rFonts w:ascii="Times New Roman;serif" w:hAnsi="Times New Roman;serif"/>
          <w:b w:val="false"/>
          <w:color w:val="000000"/>
          <w:sz w:val="22"/>
          <w:u w:val="single"/>
        </w:rPr>
        <w:t>Reductions</w:t>
      </w:r>
      <w:r>
        <w:rPr>
          <w:rFonts w:ascii="Times New Roman;serif" w:hAnsi="Times New Roman;serif"/>
          <w:b w:val="false"/>
          <w:color w:val="000000"/>
          <w:sz w:val="22"/>
        </w:rPr>
        <w:t>. Promptly after receipt thereof, the Administrative Agent will notify each Lender of the contents of each Borrowing Notice, Swing Line Borrowing Notice, Conversion/Continuation Notice, and repayment notice received by it hereunder. Promptly after notice from the LC Issuer, the Administrative Agent will notify each Lender of the contents of each request for issuance of a Facility LC hereunder. The Administrative Agent will notify each Lender of the interest rate applicable to each SOFR Borrowing promptly upon determination of such interest rate and will give each Lender prompt notice of each change in the Alternate Base Rate.</w:t>
      </w:r>
    </w:p>
    <w:p>
      <w:pPr>
        <w:pStyle w:val="TextBody"/>
        <w:bidi w:val="0"/>
        <w:spacing w:lineRule="auto" w:line="288" w:before="239" w:after="283"/>
        <w:ind w:left="0" w:right="0" w:firstLine="719"/>
        <w:jc w:val="both"/>
        <w:rPr/>
      </w:pPr>
      <w:r>
        <w:rPr>
          <w:rFonts w:ascii="Times New Roman;serif" w:hAnsi="Times New Roman;serif"/>
          <w:b w:val="false"/>
          <w:color w:val="000000"/>
          <w:sz w:val="22"/>
        </w:rPr>
        <w:t>1.13.</w:t>
      </w:r>
      <w:r>
        <w:rPr>
          <w:rFonts w:ascii="Times New Roman;serif" w:hAnsi="Times New Roman;serif"/>
          <w:b w:val="false"/>
          <w:color w:val="000000"/>
          <w:sz w:val="22"/>
          <w:u w:val="single"/>
        </w:rPr>
        <w:t>Lending Installations</w:t>
      </w:r>
      <w:r>
        <w:rPr>
          <w:rFonts w:ascii="Times New Roman;serif" w:hAnsi="Times New Roman;serif"/>
          <w:b w:val="false"/>
          <w:color w:val="000000"/>
          <w:sz w:val="22"/>
        </w:rPr>
        <w:t>. Each Lender may book its Borrowings and its participation in any LC Obligations and the LC Issuer may book the Facility LCs at any Lending Installation selected by such Lender or the LC Issuer, as the case may be, and may change its Lending Installation from time to time. All terms of this Agreement shall apply to any such Lending Installation and the Loans, Facility LCs, participations in LC Obligations and any Notes issued hereunder shall be deemed held by each Lender or the LC Issuer, as the case may be, for the benefit of any such Lending Installation. Each Lender and the LC Issuer may, by written notice to the Administrative Agent and the Borrower in accordance with Article XIII, designate replacement or additional Lending Installations through which Loans will be made by it or Facility LCs will be issued by it and for whose account Loan payments or payments with respect to Facility LCs are to be made.</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1.14.</w:t>
      </w:r>
      <w:r>
        <w:rPr>
          <w:rFonts w:ascii="Times New Roman;serif" w:hAnsi="Times New Roman;serif"/>
          <w:b w:val="false"/>
          <w:color w:val="000000"/>
          <w:sz w:val="22"/>
          <w:u w:val="single"/>
        </w:rPr>
        <w:t>Non-Receipt of Funds by the Administrative Agent</w:t>
      </w:r>
      <w:r>
        <w:rPr>
          <w:rFonts w:ascii="Times New Roman;serif" w:hAnsi="Times New Roman;serif"/>
          <w:b w:val="false"/>
          <w:color w:val="000000"/>
          <w:sz w:val="22"/>
        </w:rPr>
        <w:t>. Unless the Borrower or a Lender, as the case may be, notifies the Administrative Agent prior to the date on which it is scheduled to make payment to the Administrative Agent of (i) in the case of a Lender, the proceeds of a Loan or (ii) in the case of the Borrower, a payment of principal, interest or fees to the Administrative Agent for the account of the Lenders, that it does not intend to make such payment, the Administrative Agent may assume that such payment has been made. The Administrative Agent may, but shall not be obligated to, make the amount of such payment available to the intended recipient in reliance upon such assumption. If such Lender or the Borrower, as the case may be, has not in fact made such payment to the Administrative Agent, the recipient of such payment shall, on demand by the Administrative Agent, repay to the Administrative Agent the amount so made available together with interest thereon in respect of each day during the period commencing on the date such amount was so made available by the Administrative Agent until the date the Administrative Agent recovers such amount at a rate per annum equal to (x) in the case of payment by a Lender, the greater of the Federal Funds Effective Rate and a rate determined by the Administrative Agent in accordance with banking industry rules on interbank compensation or (y) in the case of payment by the Borrower, the interest rate applicable to the relevant Loan.</w:t>
      </w:r>
    </w:p>
    <w:p>
      <w:pPr>
        <w:pStyle w:val="TextBody"/>
        <w:bidi w:val="0"/>
        <w:spacing w:lineRule="auto" w:line="288" w:before="243" w:after="283"/>
        <w:ind w:left="0" w:right="0" w:hanging="720"/>
        <w:jc w:val="left"/>
        <w:rPr/>
      </w:pPr>
      <w:r>
        <w:rPr>
          <w:rFonts w:ascii="Times New Roman;serif" w:hAnsi="Times New Roman;serif"/>
          <w:b w:val="false"/>
          <w:color w:val="000000"/>
          <w:sz w:val="22"/>
        </w:rPr>
        <w:t>1.15.</w:t>
      </w:r>
      <w:r>
        <w:rPr>
          <w:rFonts w:ascii="Times New Roman;serif" w:hAnsi="Times New Roman;serif"/>
          <w:b w:val="false"/>
          <w:color w:val="000000"/>
          <w:sz w:val="22"/>
          <w:u w:val="single"/>
        </w:rPr>
        <w:t>Facility LCs</w:t>
      </w:r>
      <w:r>
        <w:rPr>
          <w:rFonts w:ascii="Times New Roman;serif" w:hAnsi="Times New Roman;serif"/>
          <w:b w:val="false"/>
          <w:color w:val="000000"/>
          <w:sz w:val="22"/>
        </w:rPr>
        <w:t>.</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Issuance</w:t>
      </w:r>
      <w:r>
        <w:rPr>
          <w:rFonts w:ascii="Times New Roman;serif" w:hAnsi="Times New Roman;serif"/>
          <w:b w:val="false"/>
          <w:color w:val="000000"/>
          <w:sz w:val="22"/>
        </w:rPr>
        <w:t>. The LC Issuer hereby agrees, on the terms and conditions set forth in this Agreement, to issue standby Letters of Credit denominated in Dollars or other Agreed Currencies (each, a “Facility LC”) and to renew, extend, increase, decrease or otherwise modify each Facility LC (“Modify,” and each such action a “Modification”), from time to time from and including the date of this Agreement and prior to the Facility Termination Date upon the request of the Borrower; provided that immediately after each such Facility LC is issued or Modified, (i) the aggregate amount of the outstanding LC Obligations shall not exceed $4,500,000, (ii) the aggregate amount of the Revolving Exposures shall not exceed the aggregate Revolving Commitments, and (iii) the Aggregate Revolving Exposure shall not exceed the Aggregate Revolving Commitment. No Facility LC shall have an expiry date later than the earlier to occur of (x) the fifth Business Day prior to the Facility Termination Date and (y) one (1) year after its issuance.</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98830"/>
                <wp:effectExtent l="0" t="0" r="0" b="0"/>
                <wp:wrapNone/>
                <wp:docPr id="50" name="Frame48"/>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39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19"/>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Participations</w:t>
      </w:r>
      <w:r>
        <w:rPr>
          <w:rFonts w:ascii="Times New Roman;serif" w:hAnsi="Times New Roman;serif"/>
          <w:b w:val="false"/>
          <w:color w:val="000000"/>
          <w:sz w:val="22"/>
        </w:rPr>
        <w:t>. Upon the issuance or Modification by the LC Issuer of a Facility LC, the LC Issuer shall be deemed, without further action by any party hereto, to have unconditionally and irrevocably sold to each Lender, and each Lender shall be deemed, without further action by any party hereto, to have unconditionally and irrevocably purchased from the LC Issuer, a participation in such Facility LC (and each Modification thereof) and the related LC Obligations in proportion to its Pro Rata Share.</w:t>
      </w:r>
    </w:p>
    <w:p>
      <w:pPr>
        <w:pStyle w:val="TextBody"/>
        <w:bidi w:val="0"/>
        <w:spacing w:lineRule="auto" w:line="288" w:before="239" w:after="283"/>
        <w:ind w:left="0" w:right="0" w:firstLine="719"/>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Notice</w:t>
      </w:r>
      <w:r>
        <w:rPr>
          <w:rFonts w:ascii="Times New Roman;serif" w:hAnsi="Times New Roman;serif"/>
          <w:b w:val="false"/>
          <w:color w:val="000000"/>
          <w:sz w:val="22"/>
        </w:rPr>
        <w:t>. Subject to Section 2.19(a), the Borrower shall give the Administrative Agent notice prior to noon (Pacific Standard Time) at least three (3) Business Days prior to the proposed date of issuance or Modification of each Facility LC, specifying the beneficiary, the proposed date of issuance (or Modification) and the expiry date of such Facility LC, and describing the proposed terms of such Facility LC and the nature of the transactions proposed to be supported thereby. Upon receipt of such notice, the Administrative Agent shall promptly notify the LC Issuer and each Lender of the contents thereof and of the amount of such Lender’s participation in such proposed Facility LC. The issuance or Modification by the LC Issuer of any Facility LC shall, in addition to the conditions precedent set forth in Article IV, be subject to the conditions precedent that such Facility LC shall be satisfactory to the LC Issuer and that the Borrower shall have executed and delivered such application agreement and/or such other instruments and agreements relating to such Facility LC as the LC Issuer shall have reasonably requested (each, a “Facility LC Application”). The LC Issuer shall have no independent duty to ascertain whether the conditions set forth in Article IV have been satisfied; provided, however, that the LC Issuer shall not issue a Facility LC if, on or before the proposed date of issuance, the LC Issuer shall have received notice from the Administrative Agent or the Required Lenders that any such condition has not been satisfied or waived. In the event of any conflict between the terms of this Agreement and the terms of any Facility LC Application, the terms of this Agreement shall control.</w:t>
      </w:r>
    </w:p>
    <w:p>
      <w:pPr>
        <w:pStyle w:val="TextBody"/>
        <w:bidi w:val="0"/>
        <w:spacing w:lineRule="auto" w:line="288" w:before="240" w:after="283"/>
        <w:ind w:left="0" w:right="0" w:firstLine="719"/>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LC Fees</w:t>
      </w:r>
      <w:r>
        <w:rPr>
          <w:rFonts w:ascii="Times New Roman;serif" w:hAnsi="Times New Roman;serif"/>
          <w:b w:val="false"/>
          <w:color w:val="000000"/>
          <w:sz w:val="22"/>
        </w:rPr>
        <w:t>. The Borrower shall pay to the Administrative Agent, for the account of the Lenders ratably in accordance with their respective Pro Rata Shares, with respect to each Facility LC, a letter of credit fee at a per annum rate equal to the Applicable Margin for SOFR Loans in effect from time to time on the face amount of such Facility LC for the period from the date of issuance to the scheduled expiration date of such Facility LC, such fee to be payable in arrears on each Payment Date (the “LC Fee”). The Borrower shall also pay to the LC Issuer for its own account (x) a fronting fee in an amount equal to 0.125% per annum of the average daily undrawn stated amount under such Facility LC, such fee payable in arrears on each Payment Date and (y) on demand, all amendment, drawing and other fees regularly charged by the LC Issuer to its letter of credit customers and all out-of-pocket expenses incurred by the LC Issuer in connection with the issuance, Modification, administration or payment of any Facility LC.</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Administration</w:t>
      </w:r>
      <w:r>
        <w:rPr>
          <w:rFonts w:ascii="Times New Roman;serif" w:hAnsi="Times New Roman;serif"/>
          <w:b w:val="false"/>
          <w:color w:val="000000"/>
          <w:sz w:val="22"/>
        </w:rPr>
        <w:t xml:space="preserve">; Reimbursement by Lenders. Upon receipt of any demand for payment under any Facility LC from the beneficiary of such Facility LC, the LC Issuer shall notify the Administrative Agent and the Administrative Agent shall promptly notify the Borrower and each other Lender as to the amount to be paid by the LC Issuer as a result of such demand and the proposed payment date (the “LC Payment Date”). The responsibility of the LC Issuer to the Borrower and each Lender shall be only to determine that the documents (including each demand for payment) delivered under each Facility LC in connection with such presentment shall be in conformity in all material respects with such Facility LC. The LC Issuer shall endeavor to exercise the same care in the issuance and administration of the Facility LCs as it does with respect to letters of credit in which no participations are granted, it being understood that in the absence of any gross negligence, bad faith or willful misconduct by the LC Issuer, each Lender shall be unconditionally and irrevocably liable without regard to the occurrence of any Event of Default or any condition precedent whatsoever, to reimburse the LC Issuer on demand for (i) such Lender’s Pro Rata Share of the amount of each payment made by the LC Issuer under each Facility LC to the extent such amount is not reimbursed by the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98830"/>
                <wp:effectExtent l="0" t="0" r="0" b="0"/>
                <wp:wrapNone/>
                <wp:docPr id="51" name="Frame49"/>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Borrower pursuant to Section 2.19(f) below and there are not funds available in the Facility LC Collateral Account to cover the same, plus (ii) interest on the foregoing amount to be reimbursed</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98830"/>
                <wp:effectExtent l="0" t="0" r="0" b="0"/>
                <wp:wrapNone/>
                <wp:docPr id="52" name="Frame50"/>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by such Lender, for each day from the date of the LC Issuer’s demand for such reimbursement (or, if such demand is made after 10:00 a.m. (Pacific Standard Time) on such date, from the next succeeding Business Day) to the date on which such Lender pays the amount to be reimbursed by it at the greater of the Federal Funds Effective Rate and a rate determined by the Administrative Agent in accordance with banking industry rules on interbank compensation.</w:t>
      </w:r>
    </w:p>
    <w:p>
      <w:pPr>
        <w:pStyle w:val="TextBody"/>
        <w:bidi w:val="0"/>
        <w:spacing w:lineRule="auto" w:line="288" w:before="240" w:after="283"/>
        <w:ind w:left="0" w:right="0" w:firstLine="719"/>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Reimbursement by Borrower</w:t>
      </w:r>
      <w:r>
        <w:rPr>
          <w:rFonts w:ascii="Times New Roman;serif" w:hAnsi="Times New Roman;serif"/>
          <w:b w:val="false"/>
          <w:color w:val="000000"/>
          <w:sz w:val="22"/>
        </w:rPr>
        <w:t>. The Borrower shall be irrevocably and unconditionally obligated to reimburse the LC Issuer on or before the applicable LC Payment Date for any amounts to be paid by the LC Issuer upon any drawing under any Facility LC, without presentment, demand, protest or other formalities of any kind; provided that neither the Borrower nor any Lender shall hereby be precluded from asserting any claim for direct (but not consequential) damages suffered by the Borrower or such Lender to the extent, but only to the extent, caused by (i) the willful misconduct, bad faith or gross negligence of the LC Issuer in determining whether a request presented under any Facility LC issued by it complied with the terms of such Facility LC or (ii) the LC Issuer’s failure to pay under any Facility LC issued by it after the presentation to it of a request strictly complying with the terms and conditions of such Facility LC. All such amounts paid by the LC Issuer and remaining unpaid by the Borrower shall bear interest, payable on demand, for each day until paid at a rate per annum equal to (x) the rate applicable to Base Rate Borrowings for such day if such day falls on or before the applicable LC Payment Date and (y) the sum of 2.00% per annum plus the rate applicable to Base Rate Borrowings for such day if such day falls after such LC Payment Date. The LC Issuer will pay to each Lender ratably in accordance with its Pro Rata Share all amounts received by it from the Borrower for application in payment, in whole or in part, of the Reimbursement Obligation in respect of any Facility LC issued by the LC Issuer, but only to the extent such Lender has made payment to the LC Issuer in respect of such Facility LC pursuant to Section 2.19(e). Subject to the terms and conditions of this Agreement (including without limitation the submission of a Borrowing Notice in compliance with Section 2.8 and the satisfaction of the applicable conditions precedent set forth in Article IV), the Borrower may request a Borrowing hereunder for the purpose of satisfying any Reimbursement Obligation.</w:t>
      </w:r>
    </w:p>
    <w:p>
      <w:pPr>
        <w:pStyle w:val="TextBody"/>
        <w:bidi w:val="0"/>
        <w:spacing w:lineRule="auto" w:line="288" w:before="242" w:after="283"/>
        <w:ind w:left="0" w:right="0" w:firstLine="719"/>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Obligations Absolute</w:t>
      </w:r>
      <w:r>
        <w:rPr>
          <w:rFonts w:ascii="Times New Roman;serif" w:hAnsi="Times New Roman;serif"/>
          <w:b w:val="false"/>
          <w:color w:val="000000"/>
          <w:sz w:val="22"/>
        </w:rPr>
        <w:t>. The Borrower’s obligations under this Section 2.19 shall be absolute and unconditional under any and all circumstances and irrespective of any setoff, counterclaim or defense to payment which the Borrower may have or have had against the LC Issuer, any Lender or any beneficiary of a Facility LC. The Borrower further agrees with the LC Issuer and the Lenders that the LC Issuer and the Lenders shall not be responsible for, and the Borrower’s Reimbursement Obligation in respect of any Facility LC shall not be affected by, among other things, the validity or genuineness of documents or of any endorsements thereon, even if such documents should in fact prove to be in any or all respects invalid, fraudulent or forged, or any dispute between or among the Borrower, any of its Affiliates, the beneficiary of any Facility LC or any financing institution or other party to whom any Facility LC may be transferred or any claims or defenses whatsoever of the Borrower or of any of its Affiliates against the beneficiary of any Facility LC or any such transferee. The LC Issuer shall not be liable for any error, omission, interruption or delay in transmission, dispatch or delivery of any message or advice, however transmitted, in connection with any Facility LC. The Borrower agrees that any action taken or omitted by the LC Issuer or any Lender under or in connection with each Facility LC and the related drafts and documents, if done without gross negligence, bad faith or willful misconduct, shall be binding upon the Borrower and shall not put the LC Issuer or any Lender under any liability to the Borrower. Nothing in this Section 2.19(g) is intended to limit the right of the Borrower to make a claim against the LC Issuer for damages as contemplated by the proviso to the first sentence of Section 2.19(f).</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Actions of LC Issuer</w:t>
      </w:r>
      <w:r>
        <w:rPr>
          <w:rFonts w:ascii="Times New Roman;serif" w:hAnsi="Times New Roman;serif"/>
          <w:b w:val="false"/>
          <w:color w:val="000000"/>
          <w:sz w:val="22"/>
        </w:rPr>
        <w:t>. The LC Issuer shall be entitled to rely, and shall be fully protected in relying, upon any Facility LC, draft, writing, resolution, notice, consent, certificate, affidavit, letter, cablegram, telegram, facsimile, telex, teletype or electronic mail message, statement, order or other document believed by it to be genuine and correct and to have been signed, sent or made by the proper</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98830"/>
                <wp:effectExtent l="0" t="0" r="0" b="0"/>
                <wp:wrapNone/>
                <wp:docPr id="53" name="Frame51"/>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Person or Persons, and upon advice and statements of legal counsel, independent accountants and other experts selected by the LC Issuer. The LC Issuer shall be fully justified in failing or refusing to take any action under this Agreement unless it shall first have received such advice or concurrence of the Required Lenders as it reasonably deems appropriate or it shall first be indemnified to its reasonable satisfaction by the Lenders against any and all liability and expense which may be incurred by it by reason of taking or continuing to take any such action. Notwithstanding any other provision of this Section 2.19, the LC Issuer shall in all cases be fully protected in acting, or in refraining from acting, under this Agreement in accordance with a request of the Required Lenders, and such request and any action taken or failure to act pursuant thereto shall be binding upon the Lenders and any future holders of a participation in any Facility LC.</w:t>
      </w:r>
    </w:p>
    <w:p>
      <w:pPr>
        <w:pStyle w:val="TextBody"/>
        <w:bidi w:val="0"/>
        <w:spacing w:lineRule="auto" w:line="288" w:before="240" w:after="283"/>
        <w:ind w:left="0" w:right="0" w:firstLine="719"/>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Indemnification</w:t>
      </w:r>
      <w:r>
        <w:rPr>
          <w:rFonts w:ascii="Times New Roman;serif" w:hAnsi="Times New Roman;serif"/>
          <w:b w:val="false"/>
          <w:color w:val="000000"/>
          <w:sz w:val="22"/>
        </w:rPr>
        <w:t>. The Borrower hereby agrees to indemnify and hold harmless each Lender, the LC Issuer and the Administrative Agent, and their respective directors, officers, agents and employees from and against any and all claims and damages, losses, liabilities, costs or expenses (including reasonable counsel fees and disbursements) which such Lender, the LC Issuer or the Administrative Agent may incur (or which may be claimed against such Lender, the LC Issuer or the Administrative Agent by any Person whatsoever) by reason of or in connection with the issuance, execution and delivery or transfer of or payment or failure to pay under any Facility LC or any actual or proposed use of any Facility LC, including, without limitation, any claims, damages, losses, liabilities, costs or expenses (including reasonable counsel fees and disbursements) which the LC Issuer may incur (i) by reason of or in connection with the failure of any other Lender to fulfill or comply with its obligations to the LC Issuer hereunder (but nothing herein contained shall affect any rights the Borrower may have against any Defaulting Lender) or (ii) by reason of or on account of the LC Issuer issuing any Facility LC which specifies that the term “Beneficiary” included therein includes any successor by operation of law of the named Beneficiary, but which Facility LC does not require that any drawing by any such successor Beneficiary be accompanied by a copy of a legal document, satisfactory to the LC Issuer, evidencing the appointment of such successor Beneficiary; provided that the Borrower shall not be required to indemnify any Lender, the LC Issuer or the Administrative Agent for any claims, damages, losses, liabilities, costs or expenses to the extent, but only to the extent, caused by (x) the willful misconduct, bad faith or gross negligence of the LC Issuer in determining whether a request presented under any Facility LC complied with the terms of such Facility LC or (y) the LC Issuer’s failure to pay under any Facility LC after the presentation to it of a request strictly complying with the terms and conditions of such Facility LC. Nothing in this Section 2.19(i) is intended to limit the obligations of the Borrower under any other provision of this Agreement.</w:t>
      </w:r>
    </w:p>
    <w:p>
      <w:pPr>
        <w:pStyle w:val="TextBody"/>
        <w:bidi w:val="0"/>
        <w:spacing w:lineRule="auto" w:line="288" w:before="241" w:after="283"/>
        <w:ind w:left="0" w:right="0" w:firstLine="719"/>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Lenders’ Indemnification</w:t>
      </w:r>
      <w:r>
        <w:rPr>
          <w:rFonts w:ascii="Times New Roman;serif" w:hAnsi="Times New Roman;serif"/>
          <w:b w:val="false"/>
          <w:color w:val="000000"/>
          <w:sz w:val="22"/>
        </w:rPr>
        <w:t>. Each Lender shall, ratably in accordance with its Pro Rata Share, indemnify the LC Issuer, its affiliates and their respective directors, officers, agents and employees (to the extent not reimbursed by the Borrower) against any cost, expense (including reasonable counsel fees and disbursements), claim, demand, action, loss or liability (except such as result from such indemnitees’ gross negligence or willful misconduct or the LC Issuer’s failure to pay under any Facility LC after the presentation to it of a request strictly complying with the terms and conditions of the Facility LC) that such indemnitees may suffer or incur in connection with this Section 2.19 or any action taken or omitted by such indemnitees hereunder.</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Facility LC Collateral Account</w:t>
      </w:r>
      <w:r>
        <w:rPr>
          <w:rFonts w:ascii="Times New Roman;serif" w:hAnsi="Times New Roman;serif"/>
          <w:b w:val="false"/>
          <w:color w:val="000000"/>
          <w:sz w:val="22"/>
        </w:rPr>
        <w:t xml:space="preserve">. The Borrower agrees that it will, upon the request of the Administrative Agent or the Required Lenders after the occurrence and during the continuance of an Event of Default and until the final expiration date of any Facility LC and thereafter as long as any amount is payable to the LC Issuer or the Lenders in respect of any Facility LC, maintain a special collateral account pursuant to arrangements satisfactory to the Administrative Agent (the “Facility LC Collateral Account”), in the name of such Borrower but under the sole dominion and control of the Administrative Agent, for the benefit of the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98830"/>
                <wp:effectExtent l="0" t="0" r="0" b="0"/>
                <wp:wrapNone/>
                <wp:docPr id="54" name="Frame52"/>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Lenders and in which such Borrower shall have no interest other than as set forth in Section 8.1. The Borrower hereby pledges, assigns and grants to the Administrative Agent, on behalf of</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98830"/>
                <wp:effectExtent l="0" t="0" r="0" b="0"/>
                <wp:wrapNone/>
                <wp:docPr id="55" name="Frame53"/>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and for the ratable benefit of the Lenders and the LC Issuer, a security interest in all of the Borrower’s right, title and interest in and to all funds which may from time to time be on deposit in the Facility LC Collateral Account to secure the prompt and complete payment and performance of the Obligations. The Administrative Agent will invest any funds on deposit from time to time in the Facility LC Collateral Account in certificates of deposit of U.S. Bank having a maturity not exceeding thirty (30) days. Nothing in this Section 2.19(k) shall either obligate the Administrative Agent to require the Borrower to deposit any funds in the Facility LC Collateral Account or limit the right of the Administrative Agent to release any funds held in the Facility LC Collateral Account in each case other than as required by Section 2.22 or Section 8.1.</w:t>
      </w:r>
    </w:p>
    <w:p>
      <w:pPr>
        <w:pStyle w:val="TextBody"/>
        <w:bidi w:val="0"/>
        <w:spacing w:lineRule="auto" w:line="288" w:before="241" w:after="283"/>
        <w:ind w:left="0" w:right="0" w:firstLine="719"/>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Rights as a Lender</w:t>
      </w:r>
      <w:r>
        <w:rPr>
          <w:rFonts w:ascii="Times New Roman;serif" w:hAnsi="Times New Roman;serif"/>
          <w:b w:val="false"/>
          <w:color w:val="000000"/>
          <w:sz w:val="22"/>
        </w:rPr>
        <w:t>. In its capacity as a Lender, the LC Issuer shall have the same rights and obligations as any other Lender.</w:t>
      </w:r>
    </w:p>
    <w:p>
      <w:pPr>
        <w:pStyle w:val="TextBody"/>
        <w:bidi w:val="0"/>
        <w:spacing w:lineRule="auto" w:line="280" w:before="238" w:after="283"/>
        <w:ind w:left="0" w:right="0" w:firstLine="719"/>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Separate Reimbursement Agreement</w:t>
      </w:r>
      <w:r>
        <w:rPr>
          <w:rFonts w:ascii="Times New Roman;serif" w:hAnsi="Times New Roman;serif"/>
          <w:b w:val="false"/>
          <w:color w:val="000000"/>
          <w:sz w:val="22"/>
        </w:rPr>
        <w:t>. In the event the LC Issuer enters into a separate reimbursement agreement with the Borrower covering the Facility LCs and the terms of such reimbursement agreement conflict with or contradict the terms of this Agreement, the terms of this Agreement shall control.</w:t>
      </w:r>
    </w:p>
    <w:p>
      <w:pPr>
        <w:pStyle w:val="TextBody"/>
        <w:bidi w:val="0"/>
        <w:spacing w:lineRule="auto" w:line="288" w:before="231" w:after="283"/>
        <w:ind w:left="0" w:right="0" w:firstLine="719"/>
        <w:jc w:val="both"/>
        <w:rPr/>
      </w:pPr>
      <w:r>
        <w:rPr>
          <w:rFonts w:ascii="Times New Roman;serif" w:hAnsi="Times New Roman;serif"/>
          <w:b w:val="false"/>
          <w:color w:val="000000"/>
          <w:sz w:val="22"/>
        </w:rPr>
        <w:t>1.16.</w:t>
      </w:r>
      <w:r>
        <w:rPr>
          <w:rFonts w:ascii="Times New Roman;serif" w:hAnsi="Times New Roman;serif"/>
          <w:b w:val="false"/>
          <w:color w:val="000000"/>
          <w:sz w:val="22"/>
          <w:u w:val="single"/>
        </w:rPr>
        <w:t>Replacement of Lender</w:t>
      </w:r>
      <w:r>
        <w:rPr>
          <w:rFonts w:ascii="Times New Roman;serif" w:hAnsi="Times New Roman;serif"/>
          <w:b w:val="false"/>
          <w:color w:val="000000"/>
          <w:sz w:val="22"/>
        </w:rPr>
        <w:t>. If the Borrower is required pursuant to Sections 3.1, 3.2 or 3.5 to make any additional payment to any Lender, or if any Lender defaults in its obligation to make a Loan, reimburse the LC Issuer pursuant to Section 2.19(e) or the Swing Line Lender pursuant to Section 2.4(d) or declines to approve an amendment or waiver that is approved by the Required Lenders or otherwise becomes a Defaulting Lender (any Lender so affected an “Affected Lender”), the Borrower may elect, if such amounts continue to be charged or such suspension is still effective, to replace such Affected Lender as a Lender party to this Agreement, provided that no Default or Event of Default shall have occurred and be continuing at the time of such replacement, and provided further that, concurrently with such replacement, (i) another bank or other entity which is reasonably satisfactory to the Borrower and the Administrative Agent and, to the Borrower’s and the Administrative Agent’s reasonable satisfaction, which other bank or entity does not suffer from and is not impacted by the issue or event causing the replacement of the Affected Lender, shall agree, as of such date, to purchase for cash at par the Borrowings and other Obligations due to the Affected Lender under this Agreement and the other Loan Documents pursuant to an assignment substantially in the form of Exhibit C and to become a Lender for all purposes under this Agreement and to assume all obligations of the Affected Lender to be terminated as of such date and to comply with the requirements of Section 12.3 applicable to assignments, and (ii) the Borrower shall pay to such Affected Lender in same day funds on the day of such replacement all interest, fees and other amounts then accrued but unpaid to such Affected Lender by the Borrower hereunder to and including the date of termination, including without limitation payments due to such Affected Lender under Sections 3.1, 3.2, and 3.5.</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1.17.</w:t>
      </w:r>
      <w:r>
        <w:rPr>
          <w:rFonts w:ascii="Times New Roman;serif" w:hAnsi="Times New Roman;serif"/>
          <w:b w:val="false"/>
          <w:color w:val="000000"/>
          <w:sz w:val="22"/>
          <w:u w:val="single"/>
        </w:rPr>
        <w:t>Limitation of Interest</w:t>
      </w:r>
      <w:r>
        <w:rPr>
          <w:rFonts w:ascii="Times New Roman;serif" w:hAnsi="Times New Roman;serif"/>
          <w:b w:val="false"/>
          <w:color w:val="000000"/>
          <w:sz w:val="22"/>
        </w:rPr>
        <w:t>. The Borrower, the Administrative Agent and the Lenders intend to strictly comply with all applicable laws, including applicable usury laws. Accordingly, the provisions of this Section 2.21 shall govern and control over every other provision of this Agreement or any other Loan Document which conflicts or is inconsistent with this Section 2.21, even if such provision declares that it controls. As used in this Section 2.21, the term “interest” includes the aggregate of all charges, fees, benefits or other compensation which constitute interest under applicable law, provided that, to the maximum extent permitted by applicable law, (a) any non-principal payment shall be characterized as an expense or as compensation for something other than the use, forbearance or detention of money and not as interest, and</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98830"/>
                <wp:effectExtent l="0" t="0" r="0" b="0"/>
                <wp:wrapNone/>
                <wp:docPr id="56" name="Frame54"/>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 all interest at any time contracted for, reserved, charged or received shall be amortized, prorated, allocated and spread, in equal parts during the full term of this Agreement. In no event shall the Borrower or any other Person be obligated to pay, or any Lender have any right or privilege to reserve, receive or retain, (a) any interest in excess of the maximum amount of nonusurious interest permitted under the</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98830"/>
                <wp:effectExtent l="0" t="0" r="0" b="0"/>
                <wp:wrapNone/>
                <wp:docPr id="57" name="Frame55"/>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applicable laws (if any) of the United States or of any applicable state, or (b) total interest in excess of the amount which such Lender could lawfully have contracted for, reserved, received, retained or charged had the interest been calculated for the full term of this Agreement at the Highest Lawful Rate. On each day, if any, that the interest rate (the “Stated Rate”) called for under this Agreement or any other Loan Document exceeds the Highest Lawful Rate, the rate at which interest shall accrue shall automatically be fixed by operation of this sentence at the Highest Lawful Rate for that day, and shall remain fixed at the Highest Lawful Rate for each day thereafter until the total amount of interest accrued equals the total amount of interest which would have accrued if there were no such ceiling rate as is imposed by this sentence. Thereafter, interest shall accrue at the Stated Rate unless and until the Stated Rate again exceeds the Highest Lawful Rate when the provisions of the immediately preceding sentence shall again automatically operate to limit the interest accrual rate. The daily interest rates to be used in calculating interest at the Highest Lawful Rate shall be determined by dividing the applicable Highest Lawful Rate per annum by the number of days in the calendar year for which such calculation is being made. None of the terms and provisions contained in this Agreement or in any other Loan Document which directly or indirectly relate to interest shall ever be construed without reference to this Section 2.21, or be construed to create a contract to pay for the use, forbearance or detention of money at an interest rate in excess of the Highest Lawful Rate. If the term of any Loan or any other Obligation outstanding hereunder or under the other Loan Documents is shortened by reason of acceleration of maturity as a result of any Event of Default or by any other cause, or by reason of any required or permitted prepayment, and if for that (or any other) reason any Lender at any time, including but not limited to, the stated maturity, is owed or receives (and/or has received) interest in excess of interest calculated at the Highest Lawful Rate, then and in any such event all of any such excess interest shall be canceled automatically as of the date of such acceleration, prepayment or other event which produces the excess, and, if such excess interest has been paid to such Lender, it shall be credited pro tanto against the then-outstanding principal balance of the Borrower’s Obligations to such Lender, effective as of the date or dates when the event occurs which causes it to be excess interest, until such excess is exhausted or all of such principal has been fully paid and satisfied, whichever occurs first, and any remaining balance of such excess shall be promptly refunded to its payor.</w:t>
      </w:r>
    </w:p>
    <w:p>
      <w:pPr>
        <w:pStyle w:val="TextBody"/>
        <w:bidi w:val="0"/>
        <w:spacing w:lineRule="auto" w:line="288" w:before="243" w:after="283"/>
        <w:ind w:left="0" w:right="0" w:hanging="720"/>
        <w:jc w:val="left"/>
        <w:rPr/>
      </w:pPr>
      <w:r>
        <w:rPr>
          <w:rFonts w:ascii="Times New Roman;serif" w:hAnsi="Times New Roman;serif"/>
          <w:b w:val="false"/>
          <w:color w:val="000000"/>
          <w:sz w:val="22"/>
        </w:rPr>
        <w:t>1.18.</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w:t>
      </w:r>
    </w:p>
    <w:p>
      <w:pPr>
        <w:pStyle w:val="TextBody"/>
        <w:bidi w:val="0"/>
        <w:spacing w:lineRule="auto" w:line="288" w:before="237" w:after="283"/>
        <w:ind w:left="0" w:right="0" w:firstLine="719"/>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Defaulting Lender Adjustments</w:t>
      </w:r>
      <w:r>
        <w:rPr>
          <w:rFonts w:ascii="Times New Roman;serif" w:hAnsi="Times New Roman;serif"/>
          <w:b w:val="false"/>
          <w:color w:val="000000"/>
          <w:sz w:val="22"/>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lineRule="auto" w:line="288" w:before="242" w:after="283"/>
        <w:ind w:left="0" w:right="0" w:hanging="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Waivers and Amendments</w:t>
      </w:r>
      <w:r>
        <w:rPr>
          <w:rFonts w:ascii="Times New Roman;serif" w:hAnsi="Times New Roman;serif"/>
          <w:b w:val="false"/>
          <w:color w:val="000000"/>
          <w:sz w:val="22"/>
        </w:rPr>
        <w:t>. Such Defaulting Lender’s right to approve or disapprove any amendment, waiver or consent with respect to this Agreement shall be restricted as set forth in the definition of Required Lenders.</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Defaulting Lender Waterfall</w:t>
      </w:r>
      <w:r>
        <w:rPr>
          <w:rFonts w:ascii="Times New Roman;serif" w:hAnsi="Times New Roman;serif"/>
          <w:b w:val="false"/>
          <w:color w:val="000000"/>
          <w:sz w:val="22"/>
        </w:rPr>
        <w:t>. 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11.1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the LC Issuer and Swing Line Lender hereunder; third, to Cash Collateralize the LC Issuer’s Fronting Exposure with respect to such Defaulting Lender in accordance with Section 2.22(d); fourth, as the Borrower may request (so long as no Default or Event of Default exists), to the funding of any Loan in respect of which such Defaulting Lender has failed to fund its portion</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98830"/>
                <wp:effectExtent l="0" t="0" r="0" b="0"/>
                <wp:wrapNone/>
                <wp:docPr id="58" name="Frame56"/>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thereof as required by this Agreement, as determined by the Administrative Agent; fifth, if so determined by the Administrative Agent and the Borrower, to be held in a deposit account (including the Facility LC Collateral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Facility LCs issued under this Agreement, in accordance with Section 2.22(d); sixth, to the payment of any amounts owing to the Lenders, the LC Issuer or Swing Line Lender as a result of any judgment of a court of competent jurisdiction obtained by any Lender, the LC Issuer or Swing Line Lender against such Defaulting Lender as a result of such Defaulting Lender’s breach of its obligations under this Agreement; seventh,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eighth, if so determined by the Administrative Agent, distributed to the Lenders other than the Defaulting Lender until the ratio of the Revolving Exposure of such Lenders to the Aggregate Revolving Exposures of all Revolving Lenders equals such ratio immediately prior to the Defaulting Lender’s failure to fund any portion of any Loans or participations in Facility LCs or Swing Line Loans; and ninth, to such Defaulting Lender or as otherwise directed by a court of competent jurisdiction; provided that if (x) such payment is a payment of the principal amount of any Loans or Facility LC issuances in respect of which such Defaulting Lender has not fully funded its appropriate share, and (y) such Loans were made or the related Facility LCs were issued at a time when the conditions set forth in Section 4.2 were satisfied or waived, such payment shall be applied solely to pay the Credit Extensions of all Non-Defaulting Lenders on a pro rata basis prior to being applied to the payment of any Credit Extensions of such Defaulting Lender until such time as all Loans and funded and unfunded participations in LC Obligations and Swing Line Loans are held by the Lenders pro rata in accordance with the Revolving Commitments without giving effect to Section 2.22(a)(iv). Any payments, prepayments or other amounts paid or payable to a Defaulting Lender that are applied (or held) to pay amounts owed by a Defaulting Lender or to post Cash Collateral pursuant to this Section 2.22(a)(ii) shall be deemed paid to and redirected by such Defaulting Lender, and each Lender irrevocably consents hereto.</w:t>
      </w:r>
    </w:p>
    <w:p>
      <w:pPr>
        <w:pStyle w:val="TextBody"/>
        <w:bidi w:val="0"/>
        <w:spacing w:lineRule="auto" w:line="288" w:before="241" w:after="283"/>
        <w:ind w:left="0" w:right="0" w:hanging="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Certain Fees</w:t>
      </w:r>
      <w:r>
        <w:rPr>
          <w:rFonts w:ascii="Times New Roman;serif" w:hAnsi="Times New Roman;serif"/>
          <w:b w:val="false"/>
          <w:color w:val="000000"/>
          <w:sz w:val="22"/>
        </w:rPr>
        <w:t>. Each Defaulting Lender shall be entitled to receive LC Fees for any period during which that Lender is a Defaulting Lender only to the extent allocable to its ratable share of the commitment to fund the stated amount of Facility LCs. LC Fees shall be reallocated among the Lenders to the extent that the Lenders’ commitment to fund the stated amount of Facility LCs is reallocated.</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Reallocation of Participations to Reduce Fronting Exposure</w:t>
      </w:r>
      <w:r>
        <w:rPr>
          <w:rFonts w:ascii="Times New Roman;serif" w:hAnsi="Times New Roman;serif"/>
          <w:b w:val="false"/>
          <w:color w:val="000000"/>
          <w:sz w:val="22"/>
        </w:rPr>
        <w:t xml:space="preserve">. All or any part of such Defaulting Lender’s participation in LC Obligations and Swing Line Loans shall be reallocated among the Non-Defaulting Lenders in accordance with their respective Pro Rata Shares (calculated without regard to such Defaulting Lender’s Revolving Commitment) but only to the extent that (x) the conditions set forth in Section 4.2 are satisfied at the time of such reallocation (and, unless the Borrower shall have otherwise notified the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98830"/>
                <wp:effectExtent l="0" t="0" r="0" b="0"/>
                <wp:wrapNone/>
                <wp:docPr id="59" name="Frame57"/>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Administrative Agent at such time, the Borrower shall be deemed to have represented and warranted that such conditions are</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98830"/>
                <wp:effectExtent l="0" t="0" r="0" b="0"/>
                <wp:wrapNone/>
                <wp:docPr id="60" name="Frame58"/>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49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satisfied at such time), and (y) such reallocation does not cause the aggregate Revolving Exposure of any Non-Defaulting Lender to exceed such Non-Defaulting Lender’s Revolving Commitment. Subject to Section 9.15,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lineRule="auto" w:line="288" w:before="240" w:after="283"/>
        <w:ind w:left="0" w:right="0" w:hanging="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Cash Collateral, Repayment of Swing Line Loans</w:t>
      </w:r>
      <w:r>
        <w:rPr>
          <w:rFonts w:ascii="Times New Roman;serif" w:hAnsi="Times New Roman;serif"/>
          <w:b w:val="false"/>
          <w:color w:val="000000"/>
          <w:sz w:val="22"/>
        </w:rPr>
        <w:t>. If the reallocation described in clause (iv) above cannot, or can only partially, be effected, the Borrower shall, without prejudice to any right or remedy available to it hereunder or under law, (x) first, prepay Swing Line Loans in an amount equal to the Swing Line Lender’s Fronting Exposure and (y) second, Cash Collateralize the LC Issuer’s Fronting Exposure in accordance with the procedures set forth in Section 2.22(d).</w:t>
      </w:r>
    </w:p>
    <w:p>
      <w:pPr>
        <w:pStyle w:val="TextBody"/>
        <w:bidi w:val="0"/>
        <w:spacing w:lineRule="auto" w:line="288" w:before="240" w:after="283"/>
        <w:ind w:left="0" w:right="0" w:firstLine="719"/>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Defaulting Lender Cure</w:t>
      </w:r>
      <w:r>
        <w:rPr>
          <w:rFonts w:ascii="Times New Roman;serif" w:hAnsi="Times New Roman;serif"/>
          <w:b w:val="false"/>
          <w:color w:val="000000"/>
          <w:sz w:val="22"/>
        </w:rPr>
        <w:t>. If the Borrower, the Administrative Agent,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Facility LCs and Swing Line Loans to be held pro rata by the Lenders in accordance with the Revolving Commitments (without giving effect to Section 2.22(a)(iv)), whereupon such Lender will cease to be a Defaulting Lender; provided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88" w:before="241" w:after="283"/>
        <w:ind w:left="0" w:right="0" w:firstLine="719"/>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New Swing Line Loans/Facility LCs</w:t>
      </w:r>
      <w:r>
        <w:rPr>
          <w:rFonts w:ascii="Times New Roman;serif" w:hAnsi="Times New Roman;serif"/>
          <w:b w:val="false"/>
          <w:color w:val="000000"/>
          <w:sz w:val="22"/>
        </w:rPr>
        <w:t>. So long as any Lender is a Defaulting Lender, (i) the Swing Line Lender shall not be required to fund any Swing Line Loans unless it is satisfied that it will have no Fronting Exposure after giving effect to such Swing Line Loan and (ii) the LC Issuer shall not be required to issue, extend, renew or increase any Facility LC unless it is satisfied that it will have no Fronting Exposure after giving effect thereto.</w:t>
      </w:r>
    </w:p>
    <w:p>
      <w:pPr>
        <w:pStyle w:val="TextBody"/>
        <w:bidi w:val="0"/>
        <w:spacing w:lineRule="auto" w:line="288" w:before="240" w:after="283"/>
        <w:ind w:left="0" w:right="0" w:firstLine="719"/>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Cash Collateral</w:t>
      </w:r>
      <w:r>
        <w:rPr>
          <w:rFonts w:ascii="Times New Roman;serif" w:hAnsi="Times New Roman;serif"/>
          <w:b w:val="false"/>
          <w:color w:val="000000"/>
          <w:sz w:val="22"/>
        </w:rPr>
        <w:t>. At any time that there shall exist a Defaulting Lender, within one (1) Business Day following the written request of the Administrative Agent or the LC Issuer (with a copy to the Administrative Agent) the Borrower shall Cash Collateralize the LC Issuer’s Fronting Exposure with respect to such Defaulting Lender (determined after giving effect to Section 2.22(a)(iv) and any Cash Collateral provided by such Defaulting Lender) in an amount not less than the Minimum Collateral Amount.</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Grant of Security Interest</w:t>
      </w:r>
      <w:r>
        <w:rPr>
          <w:rFonts w:ascii="Times New Roman;serif" w:hAnsi="Times New Roman;serif"/>
          <w:b w:val="false"/>
          <w:color w:val="000000"/>
          <w:sz w:val="22"/>
        </w:rPr>
        <w:t>. The Borrower, and to the extent provided by any Defaulting Lender, such Defaulting Lender, hereby grants to the Administrative Agent, for the benefit of the LC Issuer, and agrees to maintain, a first priority security interest in all such Cash Collateral as security for the Defaulting Lender’s obligation to fund participations in respect of LC Obligations, to be applied pursuant to clause (ii) below. If at any time the Administrative Agent determines that Cash Collateral is subject to any right or claim of any Person other than the Administrative Agent and the LC Issuer as herein provided, or that the total amount of such Cash Collateral is less than the Minimum Collateral Amount, the Borrower</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98830"/>
                <wp:effectExtent l="0" t="0" r="0" b="0"/>
                <wp:wrapNone/>
                <wp:docPr id="61" name="Frame59"/>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will, promptly upon demand by the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lineRule="auto" w:line="288" w:before="241" w:after="283"/>
        <w:ind w:left="0" w:right="0" w:hanging="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Application</w:t>
      </w:r>
      <w:r>
        <w:rPr>
          <w:rFonts w:ascii="Times New Roman;serif" w:hAnsi="Times New Roman;serif"/>
          <w:b w:val="false"/>
          <w:color w:val="000000"/>
          <w:sz w:val="22"/>
        </w:rPr>
        <w:t>. Notwithstanding anything to the contrary contained in this Agreement, Cash Collateral provided under this Section 2.22 in respect of Facility LCs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lineRule="auto" w:line="288" w:before="238" w:after="283"/>
        <w:ind w:left="0" w:right="0" w:hanging="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Termination of Requirement</w:t>
      </w:r>
      <w:r>
        <w:rPr>
          <w:rFonts w:ascii="Times New Roman;serif" w:hAnsi="Times New Roman;serif"/>
          <w:b w:val="false"/>
          <w:color w:val="000000"/>
          <w:sz w:val="22"/>
        </w:rPr>
        <w:t>. Cash Collateral (or the appropriate portion thereof) provided to reduce the LC Issuer’s Fronting Exposure shall no longer be required to be held as Cash Collateral pursuant to this Section 2.22(d) following (i) the elimination of the applicable Fronting Exposure (including by the termination of Defaulting Lender status of the applicable Lender), or (ii) the determination by the Administrative Agent and the LC Issuer that there exists excess Cash Collateral; provided that, subject to this Section 2.22 the Person providing Cash Collateral and the LC Issuer may agree that Cash Collateral shall be held to support future anticipated Fronting Exposure or other obligations and provided further that to the extent that such Cash Collateral was provided by the Borrower, such Cash Collateral shall remain subject to the security interest granted pursuant to the Loan Documents.</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Judgment Currency</w:t>
      </w:r>
      <w:r>
        <w:rPr>
          <w:rFonts w:ascii="Times New Roman;serif" w:hAnsi="Times New Roman;serif"/>
          <w:b w:val="false"/>
          <w:color w:val="000000"/>
          <w:sz w:val="22"/>
        </w:rPr>
        <w:t>. If for the purposes of obtaining judgment in any court it is necessary to convert a sum due from the Borrower hereunder in the currency expressed to be payable herein (the “specified currency”)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offices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11.2, such Lender or the Administrative Agent, as the case may be, agrees to remit such excess to the Borrower.</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98830"/>
                <wp:effectExtent l="0" t="0" r="0" b="0"/>
                <wp:wrapNone/>
                <wp:docPr id="62" name="Frame60"/>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center"/>
        <w:rPr>
          <w:rFonts w:ascii="Times New Roman;serif" w:hAnsi="Times New Roman;serif"/>
          <w:b/>
          <w:color w:val="000000"/>
          <w:sz w:val="22"/>
        </w:rPr>
      </w:pPr>
      <w:r>
        <w:rPr>
          <w:rFonts w:ascii="Times New Roman;serif" w:hAnsi="Times New Roman;serif"/>
          <w:b/>
          <w:color w:val="000000"/>
          <w:sz w:val="22"/>
        </w:rPr>
        <w:t>ARTICLE III</w:t>
      </w:r>
    </w:p>
    <w:p>
      <w:pPr>
        <w:pStyle w:val="TextBody"/>
        <w:bidi w:val="0"/>
        <w:spacing w:before="2" w:after="283"/>
        <w:jc w:val="left"/>
        <w:rPr/>
      </w:pPr>
      <w:r>
        <w:rPr/>
      </w:r>
    </w:p>
    <w:p>
      <w:pPr>
        <w:pStyle w:val="TextBody"/>
        <w:bidi w:val="0"/>
        <w:spacing w:lineRule="auto" w:line="288" w:before="1" w:after="283"/>
        <w:jc w:val="center"/>
        <w:rPr>
          <w:rFonts w:ascii="Times New Roman;serif" w:hAnsi="Times New Roman;serif"/>
          <w:b/>
          <w:color w:val="000000"/>
          <w:sz w:val="22"/>
          <w:u w:val="single"/>
        </w:rPr>
      </w:pPr>
      <w:r>
        <w:rPr>
          <w:rFonts w:ascii="Times New Roman;serif" w:hAnsi="Times New Roman;serif"/>
          <w:b/>
          <w:color w:val="000000"/>
          <w:sz w:val="22"/>
          <w:u w:val="single"/>
        </w:rPr>
        <w:t>YIELD PROTECTION; TAXES</w:t>
      </w:r>
    </w:p>
    <w:p>
      <w:pPr>
        <w:pStyle w:val="TextBody"/>
        <w:bidi w:val="0"/>
        <w:spacing w:lineRule="auto" w:line="288" w:before="236" w:after="283"/>
        <w:ind w:left="0" w:right="0" w:hanging="720"/>
        <w:jc w:val="left"/>
        <w:rPr/>
      </w:pPr>
      <w:r>
        <w:rPr>
          <w:rFonts w:ascii="Times New Roman;serif" w:hAnsi="Times New Roman;serif"/>
          <w:b w:val="false"/>
          <w:color w:val="000000"/>
          <w:sz w:val="22"/>
        </w:rPr>
        <w:t>1.1.</w:t>
      </w:r>
      <w:r>
        <w:rPr>
          <w:rFonts w:ascii="Times New Roman;serif" w:hAnsi="Times New Roman;serif"/>
          <w:b w:val="false"/>
          <w:color w:val="000000"/>
          <w:sz w:val="22"/>
          <w:u w:val="single"/>
        </w:rPr>
        <w:t>Yield Protection</w:t>
      </w:r>
      <w:r>
        <w:rPr>
          <w:rFonts w:ascii="Times New Roman;serif" w:hAnsi="Times New Roman;serif"/>
          <w:b w:val="false"/>
          <w:color w:val="000000"/>
          <w:sz w:val="22"/>
        </w:rPr>
        <w:t>. If, on or after the date of this Agreement, there occurs any Change in Law</w:t>
      </w:r>
    </w:p>
    <w:p>
      <w:pPr>
        <w:pStyle w:val="TextBody"/>
        <w:bidi w:val="0"/>
        <w:spacing w:lineRule="auto" w:line="288" w:before="4" w:after="283"/>
        <w:jc w:val="left"/>
        <w:rPr>
          <w:rFonts w:ascii="Times New Roman;serif" w:hAnsi="Times New Roman;serif"/>
          <w:b w:val="false"/>
          <w:color w:val="000000"/>
          <w:sz w:val="22"/>
        </w:rPr>
      </w:pPr>
      <w:r>
        <w:rPr>
          <w:rFonts w:ascii="Times New Roman;serif" w:hAnsi="Times New Roman;serif"/>
          <w:b w:val="false"/>
          <w:color w:val="000000"/>
          <w:sz w:val="22"/>
        </w:rPr>
        <w:t>which:</w:t>
      </w:r>
    </w:p>
    <w:p>
      <w:pPr>
        <w:pStyle w:val="TextBody"/>
        <w:bidi w:val="0"/>
        <w:spacing w:lineRule="auto" w:line="288" w:before="237"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(a)subjects any Lender or any applicable Lending Installation, the LC Issuer, or the Administrative Agent to any Taxes (other than with respect to Indemnified Taxes, Excluded Taxes, and Other Taxes) on its loans, loan principal, letters of credit, commitments, or other obligations, or its deposits, reserves, other liabilities or capital attributable thereto, or</w:t>
      </w:r>
    </w:p>
    <w:p>
      <w:pPr>
        <w:pStyle w:val="TextBody"/>
        <w:bidi w:val="0"/>
        <w:spacing w:lineRule="auto" w:line="288"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(b)imposes or increases or deems applicable any reserve, assessment, insurance charge, special deposit or similar requirement against assets of, deposits with or for the account of, or credit extended by, any Lender or any applicable Lending Installation or the LC Issuer, or</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(c)imposes any other condition (other than Taxes) the result of which is to increase the cost to any Lender or any applicable Lending Installation or the LC Issuer of making, or of issuing or participating in Facility LCs, or reduces any amount receivable by any Lender or any applicable Lending Installation or the LC Issuer in connection with its Facility LCs or participations therein, or requires any Lender or any applicable Lending Installation or the LC Issuer to make any payment calculated by reference to the amount of Facility LCs or participations therein held or interest or LC Fees received by it, by an amount deemed material by such Lender or the LC Issuer as the case may be, and the result of any of the foregoing is to increase the cost to such Person of making or maintaining its Loans or Revolving Commitment or of issuing or participating in Facility LCs or to reduce the amount received by such Person in connection with such Loans or Revolving Commitment, Facility LCs or participations therein, then, within fifteen (15) days after demand by such Person, the Borrower shall pay such Person, as the case may be, such additional amount or amounts as will compensate such Person for such increased cost or reduction in amount received. Failure or delay on the part of any such Person to demand compensation pursuant to this Section 3.1 shall not constitute a waiver of such Person’s right to demand such compensation; provided that the Borrower shall not be required to compensate a Person pursuant to this Section 3.1 for any increased costs or reductions suffered more than 180 days prior to the date that such Person notifies the Borrower of the Change in Law giving rise to such increased costs or reductions and of such Person’s intention to claim compensation therefor; provided further, that if the Change in Law giving rise to such increased costs or reductions is retroactive, then the 180-day period referred to above shall be extended to include the period of retroactive effect thereof.</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Changes in Capital Adequacy Regulations</w:t>
      </w:r>
      <w:r>
        <w:rPr>
          <w:rFonts w:ascii="Times New Roman;serif" w:hAnsi="Times New Roman;serif"/>
          <w:b w:val="false"/>
          <w:color w:val="000000"/>
          <w:sz w:val="22"/>
        </w:rPr>
        <w:t>. If a Lender or the LC Issuer determines that the amount of capital or liquidity required or expected to be maintained by such Lender or the LC Issuer, any Lending Installation of such Lender or the LC Issuer, or any corporation or holding company controlling such Lender or the LC Issuer is increased as a result of (i) a Change in Law or (ii) any change on or after the date of this Agreement in the Risk-Based Capital Guidelines, then, within fifteen (15) days after demand by such Lender or the LC Issuer, the Borrower shall pay such Lender or the LC Issuer the amount necessary to compensate for any shortfall in the rate of return on the portion of such increased capital or liquidity which such Lender or the LC Issuer determines is attributable to this Agreement, its Revolving Exposure or its Revolving Commitment to make Loans and issue or participate in Facility LCs, as the case may be, hereunder (after taking into account such Lender’s or the LC Issuer’s policies as to capital adequacy or liquidity), in each case that is attributable to such Change in Law or change in the Risk-Based Capital Guidelines, as applicable. Failure or delay on the part of such Lender or the LC Issuer to demand compensation pursuant to this Section 3.2 shall not constitute a waiver of such Lender’s or the LC Issuer’s right to demand such compensation; provided that the Borrower shall not be required to compensate any</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98830"/>
                <wp:effectExtent l="0" t="0" r="0" b="0"/>
                <wp:wrapNone/>
                <wp:docPr id="63" name="Frame61"/>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Lender or the LC Issuer pursuant to this Section 3.2 for any shortfall suffered more than 180 days prior to the date that such Lender or the LC Issuer notifies the Borrower of the Change in Law or change in the Risk-Based Capital Guidelines giving rise to such shortfall and of such Lender’s or the LC Issuer’s intention to claim compensation therefor; provided further, that if the Change in Law or change in Risk-Based Capital Guidelines giving rise to such shortfall is retroactive, then the 180-day period referred to above shall be extended to include the period of retroactive effect thereof.</w:t>
      </w:r>
    </w:p>
    <w:p>
      <w:pPr>
        <w:pStyle w:val="TextBody"/>
        <w:bidi w:val="0"/>
        <w:spacing w:lineRule="auto" w:line="283" w:before="239" w:after="283"/>
        <w:ind w:left="0" w:right="0" w:firstLine="719"/>
        <w:jc w:val="left"/>
        <w:rPr/>
      </w:pPr>
      <w:r>
        <w:rPr>
          <w:rFonts w:ascii="Times New Roman;serif" w:hAnsi="Times New Roman;serif"/>
          <w:b w:val="false"/>
          <w:color w:val="000000"/>
          <w:sz w:val="22"/>
        </w:rPr>
        <w:t>1.2.</w:t>
      </w:r>
      <w:r>
        <w:rPr>
          <w:rFonts w:ascii="Times New Roman;serif" w:hAnsi="Times New Roman;serif"/>
          <w:b w:val="false"/>
          <w:color w:val="000000"/>
          <w:sz w:val="22"/>
          <w:u w:val="single"/>
        </w:rPr>
        <w:t>Availability of Types of Borrowings; Adequacy of Interest Rate;    Benchmark</w:t>
      </w:r>
      <w:r>
        <w:rPr>
          <w:color w:val="000000"/>
        </w:rPr>
        <w:t xml:space="preserve"> </w:t>
      </w:r>
      <w:r>
        <w:rPr>
          <w:rFonts w:ascii="Times New Roman;serif" w:hAnsi="Times New Roman;serif"/>
          <w:b w:val="false"/>
          <w:color w:val="000000"/>
          <w:sz w:val="22"/>
          <w:u w:val="single"/>
        </w:rPr>
        <w:t>Replacement</w:t>
      </w:r>
      <w:r>
        <w:rPr>
          <w:rFonts w:ascii="Times New Roman;serif" w:hAnsi="Times New Roman;serif"/>
          <w:b w:val="false"/>
          <w:color w:val="000000"/>
          <w:sz w:val="22"/>
        </w:rPr>
        <w:t>.</w:t>
      </w:r>
    </w:p>
    <w:p>
      <w:pPr>
        <w:pStyle w:val="TextBody"/>
        <w:bidi w:val="0"/>
        <w:spacing w:lineRule="auto" w:line="288" w:before="23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(a)Unavailability of SOFR. Notwithstanding anything to the contrary in this Agreement or any other Loan Document, but subject to Section 3.3(b), if the Administrative Agent determines (which determination shall be conclusive absent manifest error), or the Required Lenders notify the Administrative Agent that the Required Lenders have determined, that</w:t>
      </w:r>
    </w:p>
    <w:p>
      <w:pPr>
        <w:pStyle w:val="TextBody"/>
        <w:bidi w:val="0"/>
        <w:spacing w:lineRule="auto" w:line="288" w:before="241"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(i)For any reason Daily Simple SOFR does not adequately and fairly reflect the cost to the Lenders of funding Loans, or</w:t>
      </w:r>
    </w:p>
    <w:p>
      <w:pPr>
        <w:pStyle w:val="TextBody"/>
        <w:bidi w:val="0"/>
        <w:spacing w:lineRule="auto" w:line="288" w:before="241"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(ii)Daily Simple SOFR is not ascertainable or available (including, without limitation, because the applicable screen (or any successor or substitute page on such screen) is unavailable) and such inability to ascertain or unavailability is not expected to be permanent, or does not adequately and fairly reflect the cost of making or maintaining Borrowings, then the Administrative Agent shall suspend the availability of Borrowings at the Daily Simple SOFR Rate and require any affected Advances to be repaid or to bear interest at the Base Rate.</w:t>
      </w:r>
    </w:p>
    <w:p>
      <w:pPr>
        <w:pStyle w:val="TextBody"/>
        <w:bidi w:val="0"/>
        <w:spacing w:lineRule="auto" w:line="288" w:before="243" w:after="283"/>
        <w:ind w:left="0" w:right="0" w:hanging="72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Benchmark Replacement</w:t>
      </w:r>
      <w:r>
        <w:rPr>
          <w:rFonts w:ascii="Times New Roman;serif" w:hAnsi="Times New Roman;serif"/>
          <w:b w:val="false"/>
          <w:color w:val="000000"/>
          <w:sz w:val="22"/>
        </w:rPr>
        <w:t>.</w:t>
      </w:r>
    </w:p>
    <w:p>
      <w:pPr>
        <w:pStyle w:val="TextBody"/>
        <w:bidi w:val="0"/>
        <w:spacing w:lineRule="auto" w:line="288" w:before="237" w:after="283"/>
        <w:ind w:left="0" w:right="0" w:hanging="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Benchmark Transition Event</w:t>
      </w:r>
      <w:r>
        <w:rPr>
          <w:rFonts w:ascii="Times New Roman;serif" w:hAnsi="Times New Roman;serif"/>
          <w:b w:val="false"/>
          <w:color w:val="000000"/>
          <w:sz w:val="22"/>
        </w:rPr>
        <w:t>.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by the Administrative Agent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98830"/>
                <wp:effectExtent l="0" t="0" r="0" b="0"/>
                <wp:wrapNone/>
                <wp:docPr id="64" name="Frame62"/>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Benchmark Replacement Conforming Changes</w:t>
      </w:r>
      <w:r>
        <w:rPr>
          <w:rFonts w:ascii="Times New Roman;serif" w:hAnsi="Times New Roman;serif"/>
          <w:b w:val="false"/>
          <w:color w:val="000000"/>
          <w:sz w:val="22"/>
        </w:rPr>
        <w:t>. In connection with the implementation of a Benchmark Replacement, the Administrative Agent will have</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98830"/>
                <wp:effectExtent l="0" t="0" r="0" b="0"/>
                <wp:wrapNone/>
                <wp:docPr id="65" name="Frame63"/>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lineRule="auto" w:line="288" w:before="240" w:after="283"/>
        <w:ind w:left="0" w:right="0" w:hanging="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Notices; Standards for Decisions and Determinations</w:t>
      </w:r>
      <w:r>
        <w:rPr>
          <w:rFonts w:ascii="Times New Roman;serif" w:hAnsi="Times New Roman;serif"/>
          <w:b w:val="false"/>
          <w:color w:val="000000"/>
          <w:sz w:val="22"/>
        </w:rPr>
        <w:t>. 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or, if applicable, any Lender (or group of Lenders) pursuant to this Section 3.3(b),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3.3(b).</w:t>
      </w:r>
    </w:p>
    <w:p>
      <w:pPr>
        <w:pStyle w:val="TextBody"/>
        <w:bidi w:val="0"/>
        <w:spacing w:lineRule="auto" w:line="288" w:before="240" w:after="283"/>
        <w:ind w:left="0" w:right="0" w:hanging="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Unavailability of Tenor of Benchmark</w:t>
      </w:r>
      <w:r>
        <w:rPr>
          <w:rFonts w:ascii="Times New Roman;serif" w:hAnsi="Times New Roman;serif"/>
          <w:b w:val="false"/>
          <w:color w:val="000000"/>
          <w:sz w:val="22"/>
        </w:rPr>
        <w:t>. Notwithstanding anything to the contrary herein or in any other Loan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Administrative Agent in its reasonable discretion 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(or any similar or analogous definition) for any Benchmark settings at or after such time to remove any tenor of such Benchmark that is unavailable or non-representative for any Benchmark settings and (ii) if a tenor that was removed pursuant to clause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Benchmark Unavailability Period</w:t>
      </w:r>
      <w:r>
        <w:rPr>
          <w:rFonts w:ascii="Times New Roman;serif" w:hAnsi="Times New Roman;serif"/>
          <w:b w:val="false"/>
          <w:color w:val="000000"/>
          <w:sz w:val="22"/>
        </w:rPr>
        <w:t>. Upon notice to the Borrower by the Administrative Agent in accordance with Section 10.1 of the commencement of a Benchmark Unavailability Period and until a Benchmark Replacement is determined in accordance with this Section 3.3(b), the Borrower may revoke any request for a SOFR Borrowing, or any request for the conversion or continuation of a SOFR Borrowing to be made, converted or continued during any Benchmark Unavailability Period, and, failing that, the Borrower will be deemed to have converted any such request at the end of the applicable Interest Period into a request for a Base Rate Borrowing or conversion to a Base Rate Borrowing. During any Benchmark Unavailability Period or at any time that a tenor for the then-current Benchmark is not an Available Tenor, the component of the Alternate Base</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98830"/>
                <wp:effectExtent l="0" t="0" r="0" b="0"/>
                <wp:wrapNone/>
                <wp:docPr id="66" name="Frame64"/>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left"/>
        <w:rPr>
          <w:rFonts w:ascii="Times New Roman;serif" w:hAnsi="Times New Roman;serif"/>
          <w:b w:val="false"/>
          <w:color w:val="000000"/>
          <w:sz w:val="22"/>
        </w:rPr>
      </w:pPr>
      <w:r>
        <w:rPr>
          <w:rFonts w:ascii="Times New Roman;serif" w:hAnsi="Times New Roman;serif"/>
          <w:b w:val="false"/>
          <w:color w:val="000000"/>
          <w:sz w:val="22"/>
        </w:rPr>
        <w:t>Rate based upon the then-current Benchmark or such tenor for such Benchmark, as applicable, will not be used in any determination of the Alternate Base Rate.</w:t>
      </w:r>
    </w:p>
    <w:p>
      <w:pPr>
        <w:pStyle w:val="TextBody"/>
        <w:bidi w:val="0"/>
        <w:spacing w:lineRule="auto" w:line="288" w:before="243" w:after="283"/>
        <w:ind w:left="0" w:right="0" w:hanging="720"/>
        <w:jc w:val="left"/>
        <w:rPr/>
      </w:pPr>
      <w:r>
        <w:rPr>
          <w:rFonts w:ascii="Times New Roman;serif" w:hAnsi="Times New Roman;serif"/>
          <w:b w:val="false"/>
          <w:color w:val="000000"/>
          <w:sz w:val="22"/>
        </w:rPr>
        <w:t>1.3.</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88" w:before="239" w:after="283"/>
        <w:ind w:left="0" w:right="0" w:hanging="720"/>
        <w:jc w:val="left"/>
        <w:rPr/>
      </w:pPr>
      <w:r>
        <w:rPr>
          <w:rFonts w:ascii="Times New Roman;serif" w:hAnsi="Times New Roman;serif"/>
          <w:b w:val="false"/>
          <w:color w:val="000000"/>
          <w:sz w:val="22"/>
        </w:rPr>
        <w:t>1.4.</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(a)Any and all payments by or on account of any obligation of any Loan Party under any Loan Document shall be made without deduction or withholding for any Taxes, except as required by applicable law. If any applicable law requires the deduction or withholding of any Tax from any such payment, then the applicable Loan Party shall be entitled to make such deduction or withholding and shall timely pay the full amount deducted or withheld to the relevant Governmental Authority in accordance with applicable law and, if such Tax is an Indemnified Tax or Other Tax, then the sum payable by the applicable Loan Party shall be increased as necessary so that after such deduction or withholding has been made (including such deductions and withholdings applicable to additional sums payable under this Section 3.5) the applicable Lender, the LC Issuer or the Administrative Agent receives an amount equal to the sum it would have received had no such deduction or withholding been made.</w:t>
      </w:r>
    </w:p>
    <w:p>
      <w:pPr>
        <w:pStyle w:val="TextBody"/>
        <w:bidi w:val="0"/>
        <w:spacing w:lineRule="auto" w:line="280"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(b)The Loan Parties shall timely pay to the relevant Governmental Authority in accordance with applicable law or, at the option of the Administrative Agent, timely reimburse it for the payment of any Other Taxes.</w:t>
      </w:r>
    </w:p>
    <w:p>
      <w:pPr>
        <w:pStyle w:val="TextBody"/>
        <w:bidi w:val="0"/>
        <w:spacing w:lineRule="auto" w:line="288" w:before="232"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(c)The Loan Parties shall indemnify the Lender, the LC Issuer or the Administrative Agent, within fifteen (15) days after demand therefor, for the full amount of any Indemnified Taxes and Other Taxes (including Indemnified Taxes and Other Taxes imposed or asserted on or attributable to amounts payable under this Section 3.5) payable or paid by such Lender, the LC Issuer or the Administrative Agent or required to be withheld or deducted from a payment to such Lender, the LC Issuer or the Administrative Agent and any reasonable expenses arising therefrom or with respect thereto, whether or not such Indemnified Taxes and Other Taxes were correctly or legally imposed or asserted by the relevant Governmental Authority. A certificate as to the amount of such payment or liability delivered to the Borrower by a Lender or LC Issuer (with a copy to the Administrative Agent), or by the Administrative Agent on its own behalf or on behalf of a Lender or LC Issuer, shall be conclusive absent manifest error.</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(d)Each Lender shall severally indemnify the Administrative Agent, within fifteen (15)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12.2(c)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As soon as practicable after any payment of Taxes by any Loan Party to a Governmental Authority pursuant to this Section 3.5, such Loan Party shall deliver to the Administrative Agent the original or a certified copy of a receipt issued by such Governmental Authority evidencing such payment,</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98830"/>
                <wp:effectExtent l="0" t="0" r="0" b="0"/>
                <wp:wrapNone/>
                <wp:docPr id="67" name="Frame65"/>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left"/>
        <w:rPr>
          <w:rFonts w:ascii="Times New Roman;serif" w:hAnsi="Times New Roman;serif"/>
          <w:b w:val="false"/>
          <w:color w:val="000000"/>
          <w:sz w:val="22"/>
        </w:rPr>
      </w:pPr>
      <w:r>
        <w:rPr>
          <w:rFonts w:ascii="Times New Roman;serif" w:hAnsi="Times New Roman;serif"/>
          <w:b w:val="false"/>
          <w:color w:val="000000"/>
          <w:sz w:val="22"/>
        </w:rPr>
        <w:t>a copy of the return reporting such payment or other evidence of such payment reasonably satisfactory to the Administrative Agent.</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3.5(f)(ii)(A),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88" w:before="244"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(i)Without limiting the generality of the foregoing,</w:t>
      </w:r>
    </w:p>
    <w:p>
      <w:pPr>
        <w:pStyle w:val="TextBody"/>
        <w:bidi w:val="0"/>
        <w:spacing w:lineRule="auto" w:line="288" w:before="236"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(A)any Lender that is a United States Person for U.S. federal income Tax purposes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w:t>
      </w:r>
    </w:p>
    <w:p>
      <w:pPr>
        <w:pStyle w:val="TextBody"/>
        <w:bidi w:val="0"/>
        <w:spacing w:lineRule="auto" w:line="288" w:before="4" w:after="283"/>
        <w:jc w:val="both"/>
        <w:rPr>
          <w:rFonts w:ascii="Times New Roman;serif" w:hAnsi="Times New Roman;serif"/>
          <w:b w:val="false"/>
          <w:color w:val="000000"/>
          <w:sz w:val="22"/>
        </w:rPr>
      </w:pPr>
      <w:r>
        <w:rPr>
          <w:rFonts w:ascii="Times New Roman;serif" w:hAnsi="Times New Roman;serif"/>
          <w:b w:val="false"/>
          <w:color w:val="000000"/>
          <w:sz w:val="22"/>
        </w:rPr>
        <w:t>U.S. federal backup withholding Tax;</w:t>
      </w:r>
    </w:p>
    <w:p>
      <w:pPr>
        <w:pStyle w:val="TextBody"/>
        <w:bidi w:val="0"/>
        <w:spacing w:lineRule="auto" w:line="288" w:before="236"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whichever of the following is applicable:</w:t>
      </w:r>
    </w:p>
    <w:p>
      <w:pPr>
        <w:pStyle w:val="TextBody"/>
        <w:bidi w:val="0"/>
        <w:spacing w:lineRule="auto" w:line="288" w:before="24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(1)in the case of a Non-U.S.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spacing w:lineRule="auto" w:line="288" w:before="241" w:after="283"/>
        <w:ind w:left="0" w:right="0" w:hanging="316"/>
        <w:jc w:val="left"/>
        <w:rPr>
          <w:rFonts w:ascii="Times New Roman;serif" w:hAnsi="Times New Roman;serif"/>
          <w:b w:val="false"/>
          <w:color w:val="000000"/>
          <w:sz w:val="22"/>
        </w:rPr>
      </w:pPr>
      <w:r>
        <w:rPr>
          <w:rFonts w:ascii="Times New Roman;serif" w:hAnsi="Times New Roman;serif"/>
          <w:b w:val="false"/>
          <w:color w:val="000000"/>
          <w:sz w:val="22"/>
        </w:rPr>
        <w:t>(2)executed copies of IRS Form W-8ECI;</w:t>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in the case of a Non-U.S. Lender claiming the benefits of the exemption for portfolio interest under Section 881(c) of the Code, (x) a certificate to the effect that such Non-U.S. Lender is not a “bank” within the meaning of Section 881(c)(3)(A) of the Code, a “10 percent shareholder” of the Borrower within the meaning of Section 881(c)(3)(B) of the Code, or a “controlled foreign corporation” related to the Borrower as described in Section 881(c)(3)(C) of the Code and (y) executed copies of IRS Form W-8BEN or IRS Form W-8BEN-E; or</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98830"/>
                <wp:effectExtent l="0" t="0" r="0" b="0"/>
                <wp:wrapNone/>
                <wp:docPr id="68" name="Frame66"/>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(3)to the extent a Non-U.S. Lender is not the beneficial owner, executed copies of IRS Form W-8IMY, accompanied by IRS Form W-8ECI, IRS Form W-8BEN, IRS Form W-8BEN-E, IRS Form W-8IMY or IRS Form W-9, and/or other certification documents from each beneficial owner, as applicable.</w:t>
      </w:r>
    </w:p>
    <w:p>
      <w:pPr>
        <w:pStyle w:val="TextBody"/>
        <w:bidi w:val="0"/>
        <w:spacing w:lineRule="auto" w:line="288"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(C)any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(D)if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pStyle w:val="TextBody"/>
        <w:bidi w:val="0"/>
        <w:spacing w:lineRule="auto" w:line="280"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(iii) 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If any party determines, in its sole discretion exercised in good faith, that it has received a refund, deduction or credit of any Taxes as to which it has been indemnified pursuant to this Section 3.5 (including by the payment of additional amounts pursuant to this Section 3.5), it shall pay to the indemnifying party an amount equal to such refund, deduction or credit (but only to the extent of indemnity payments made under this Section 3.5 with respect to the Taxes giving rise to such refund), net of all reasonable out-of-pocket expenses (including Taxes) of such indemnified party and without interest (other than any interest paid by the relevant Governmental Authority with respect to such refund, deduction or credit).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98830"/>
                <wp:effectExtent l="0" t="0" r="0" b="0"/>
                <wp:wrapNone/>
                <wp:docPr id="69" name="Frame67"/>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(f)Each party’s obligations under this Section 3.5 shall survive the resignation or replacement of the Administrative Agent or any assignment of rights by, or the replacement of, a Lender, the termination of the Revolving Commitments and the repayment, satisfaction or discharge of all obligations under any Loan Document.</w:t>
      </w:r>
    </w:p>
    <w:p>
      <w:pPr>
        <w:pStyle w:val="TextBody"/>
        <w:bidi w:val="0"/>
        <w:spacing w:lineRule="auto" w:line="288" w:before="243"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(g)For purposes of Section 3.5(d) and 3.5(f), the term “Lender” includes the LC Issuer.</w:t>
      </w:r>
    </w:p>
    <w:p>
      <w:pPr>
        <w:pStyle w:val="TextBody"/>
        <w:bidi w:val="0"/>
        <w:spacing w:lineRule="auto" w:line="288" w:before="237"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(h)For purposes of determining withholding Taxes imposed under FATCA, from and after the Effective Date, the Borrower, the other Loan Parties and the Administrative Agent shall treat (and the Lenders hereby authorize the Administrative Agent to treat) the Loans and the Facility LCs as not qualifying as a “grandfathered obligation” within the meaning of Treasury Regulation Section 1.1471-2(b)(2)(1).</w:t>
      </w:r>
    </w:p>
    <w:p>
      <w:pPr>
        <w:pStyle w:val="TextBody"/>
        <w:bidi w:val="0"/>
        <w:spacing w:lineRule="auto" w:line="288" w:before="241" w:after="283"/>
        <w:ind w:left="0" w:right="0" w:firstLine="719"/>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Illegality</w:t>
      </w:r>
      <w:r>
        <w:rPr>
          <w:rFonts w:ascii="Times New Roman;serif" w:hAnsi="Times New Roman;serif"/>
          <w:b w:val="false"/>
          <w:color w:val="000000"/>
          <w:sz w:val="22"/>
        </w:rPr>
        <w:t>. If any Lender determines that any Law has made it unlawful, or that any Governmental Authority has asserted that it is unlawful, for any Lender or its applicable lending office to make, maintain, or fund Borrowings whose interest is determined by reference to a SOFR Rate, or to determine or charge interest rates based upon a SOFR Rate, then, upon notice thereof by such Lender to the Borrower (through the Administrative Agent), (a) any obligation of such Lender to make or continue SOFR Borrowings or to convert Base Rate Borrowings to SOFR Borrowings shall be suspended, and (b) the interest rate on which Base Rate Borrowings of such Lender shall, if necessary to avoid such illegality, be determined by the Administrative Agent without reference to the component of the Base Rate based on a SOFR Rate, in each case until such Lender notifies the Administrative Agent and the Borrower that the circumstances giving rise to such determination no longer exist. Upon receipt of such notice, (i) the Borrower shall, upon demand from such Lender (with a copy to the Administrative Agent), convert all SOFR Borrowings of such Lender to Base Rate Borrowings (the interest rate on which Base Rate Borrowings of such Lender shall, if necessary to avoid such illegality, be determined by the Administrative Agent without reference to the component of the Base Rate based on a SOFR Rate), on the Interest Payment Date therefor, if such Lender can lawfully continue to maintain such SOFR Borrowings to such day, or immediately, if such Lender cannot lawfully continue to maintain such SOFR Borrowings and (ii) the Administrative Agent shall during the period of such suspension compute the Base Rate applicable to such Lender without reference to the component of the Base Rate based upon a SOFR Rate until the Administrative Agent is advised in writing by such Lender that it is no longer illegal for such Lender to determine or charge interest rates based upon a SOFR Rate.</w:t>
      </w:r>
    </w:p>
    <w:p>
      <w:pPr>
        <w:pStyle w:val="TextBody"/>
        <w:bidi w:val="0"/>
        <w:spacing w:lineRule="auto" w:line="559" w:before="230" w:after="283"/>
        <w:ind w:left="0" w:right="0" w:firstLine="2"/>
        <w:jc w:val="center"/>
        <w:rPr/>
      </w:pPr>
      <w:r>
        <w:rPr>
          <w:rFonts w:ascii="Times New Roman;serif" w:hAnsi="Times New Roman;serif"/>
          <w:b/>
          <w:color w:val="000000"/>
          <w:sz w:val="22"/>
        </w:rPr>
        <w:t xml:space="preserve">ARTICLE IV </w:t>
      </w:r>
      <w:r>
        <w:rPr>
          <w:rFonts w:ascii="Times New Roman;serif" w:hAnsi="Times New Roman;serif"/>
          <w:b/>
          <w:color w:val="000000"/>
          <w:sz w:val="22"/>
          <w:u w:val="single"/>
        </w:rPr>
        <w:t>CONDITIONS PRECEDENT</w:t>
      </w:r>
    </w:p>
    <w:p>
      <w:pPr>
        <w:pStyle w:val="TextBody"/>
        <w:bidi w:val="0"/>
        <w:spacing w:lineRule="auto" w:line="280" w:before="0" w:after="0"/>
        <w:ind w:left="0" w:right="0" w:firstLine="719"/>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Initial Credit Extension</w:t>
      </w:r>
      <w:r>
        <w:rPr>
          <w:rFonts w:ascii="Times New Roman;serif" w:hAnsi="Times New Roman;serif"/>
          <w:b w:val="false"/>
          <w:color w:val="000000"/>
          <w:sz w:val="22"/>
        </w:rPr>
        <w:t>. The Lenders shall not be required to make the initial Credit Extension hereunder unless each of the following conditions is satisfied:</w:t>
      </w:r>
    </w:p>
    <w:p>
      <w:pPr>
        <w:pStyle w:val="TextBody"/>
        <w:bidi w:val="0"/>
        <w:spacing w:lineRule="auto" w:line="280" w:before="227"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(a)The Administrative Agent shall have received an executed counterpart of this Agreement and an Acknowledgement and Reaffirmation of Guaranty executed by Universal Electronics BV in form and content acceptable to the Administrative Agent.</w:t>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The Administrative Agent shall have received a certificate, signed by an Authorized Officer of the Borrower, stating that on the Effective Date (1) there is no Default or Event of Default which has occurred and is continuing nor will any such Default or Event of Default exist after giving effect to the transactions with the Bank which have been requested by the Borrower; (2) the representations and warranties contained in Article V are true and correct as of the date of the certificate with the same force and effect as if made on such date; and (3) there has been no Material Adverse Effect since December 31, 2025.</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98830"/>
                <wp:effectExtent l="0" t="0" r="0" b="0"/>
                <wp:wrapNone/>
                <wp:docPr id="70" name="Frame68"/>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59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(b)The Administrative Agent shall have received any Notes requested by one or more Lenders pursuant to Section 2.13 payable to the order of each such requesting Lender.</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(c)The Administrative Agent shall have received such documents and certificates relating to the organization, existence and good standing of the Borrower and each initial Guarantor, the authorization of the transactions contemplated hereby and any other legal matters relating to the Borrower and such Guarantors, the Loan Documents or the transactions contemplated hereby, all in form and substance satisfactory to the Administrative Agent and its counsel and as further described in the list of closing documents attached as Exhibit F.</w:t>
      </w:r>
    </w:p>
    <w:p>
      <w:pPr>
        <w:pStyle w:val="TextBody"/>
        <w:bidi w:val="0"/>
        <w:spacing w:lineRule="auto" w:line="283"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(d)If the initial Credit Extension will be the issuance of a Facility LC, the Administrative Agent shall have received a properly completed Facility LC Application.</w:t>
      </w:r>
    </w:p>
    <w:p>
      <w:pPr>
        <w:pStyle w:val="TextBody"/>
        <w:bidi w:val="0"/>
        <w:spacing w:lineRule="auto" w:line="280" w:before="23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(e)The Administrative Agent shall have received all fees and other amounts due and payable on or prior to the Effective Date, including, to the extent invoiced, reimbursement or payment of all out-of-pocket expenses required to be reimbursed or paid by the Borrower hereunder.</w:t>
      </w:r>
    </w:p>
    <w:p>
      <w:pPr>
        <w:pStyle w:val="TextBody"/>
        <w:bidi w:val="0"/>
        <w:spacing w:lineRule="auto" w:line="288" w:before="235"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(f)There shall not have occurred a Material Adverse Effect since December 31, 2025.</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(g)The Administrative Agent shall have received evidence of all governmental, equity holder and third party consents and approvals necessary in connection with the contemplated financing and all applicable waiting periods shall have expired without any action being taken by any authority that would be reasonably likely to restrain, prevent or impose any material adverse conditions on the Borrower and its Subsidiaries, taken as a whole, and no law or regulation shall be applicable which in the reasonable judgment of the Administrative Agent could have such effect.</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(h)No action, suit, investigation or proceeding is pending or, to the knowledge of the Borrower, threatened in any court or before any arbitrator or Governmental Authority that would reasonably be expected to result in a Material Adverse Effect or which seeks to prevent, enjoin or delay the making of any Credit Extensions.</w:t>
      </w:r>
    </w:p>
    <w:p>
      <w:pPr>
        <w:pStyle w:val="TextBody"/>
        <w:bidi w:val="0"/>
        <w:spacing w:lineRule="auto" w:line="288" w:before="242"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(i)The Administrative Agent shall have received: (i) pro forma financial statements giving effect to the initial Credit Extensions contemplated hereby, which demonstrate, in the Administrative Agent’s reasonable judgment, together with all other information then available to the Administrative Agent, that the Borrower can repay its debts and satisfy its other obligations as and when they become due, and can comply with the financial covenants set forth in Section 6.21, (ii) such information as the Administrative Agent may reasonably request to confirm the tax, legal, and business assumptions made in such pro forma financial statements, (iii) unaudited consolidated financial statements of the Borrower and its Subsidiaries for the fiscal quarter ended March 31, 2026, and (iv) audited consolidated financial statements of the Borrower and its Subsidiaries for the fiscal year ended December 31, 2025.</w:t>
      </w:r>
    </w:p>
    <w:p>
      <w:pPr>
        <w:pStyle w:val="TextBody"/>
        <w:bidi w:val="0"/>
        <w:spacing w:lineRule="auto" w:line="280" w:before="238"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(j)The Administrative Agent shall have received evidence of current insurance coverage in form, scope and substance reasonably satisfactory to the Administrative Agent and otherwise in compliance with the terms of Sections 5.18 and 6.6.</w:t>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Lenders, a perfected Lien on the Collateral described herein, prior and superior in right to any other Person (other than with respect to Permitted Liens), shall be in proper form for filing, registration or recordation.</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98830"/>
                <wp:effectExtent l="0" t="0" r="0" b="0"/>
                <wp:wrapNone/>
                <wp:docPr id="71" name="Frame69"/>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0" w:before="79" w:after="283"/>
        <w:ind w:left="0" w:right="0" w:firstLine="719"/>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Each Credit Extension</w:t>
      </w:r>
      <w:r>
        <w:rPr>
          <w:rFonts w:ascii="Times New Roman;serif" w:hAnsi="Times New Roman;serif"/>
          <w:b w:val="false"/>
          <w:color w:val="000000"/>
          <w:sz w:val="22"/>
        </w:rPr>
        <w:t>. The Lenders shall not (except as otherwise set forth in Section 2.4(d) with respect to Revolving Loans for the purpose of repaying Swing Line Loans) be required to make any Credit Extension unless on the applicable Borrowing Date:</w:t>
      </w:r>
    </w:p>
    <w:p>
      <w:pPr>
        <w:pStyle w:val="TextBody"/>
        <w:bidi w:val="0"/>
        <w:spacing w:lineRule="auto" w:line="283" w:before="232"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(a)Both immediately before and immediately after giving effect to such Credit Extension and the application of the proceeds thereof, there exists no Default or Event of Default.</w:t>
      </w:r>
    </w:p>
    <w:p>
      <w:pPr>
        <w:pStyle w:val="TextBody"/>
        <w:bidi w:val="0"/>
        <w:spacing w:lineRule="auto" w:line="288" w:before="23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(b)The representations and warranties contained in Article V are (x) with respect to any representations or warranties that contain a materiality qualifier, true and correct in all respects as of such Borrowing Date, except to the extent any such representation or warranty is stated to relate solely to an earlier date, in which case such representation or warranty shall have been true and correct in all respects on and as of such earlier date and (y) with respect to any representations or warranties that do not contain a materiality qualifier, true and correct in all material respects as of such Borrowing Date, except to the extent any such representation or warranty is stated to relate solely to an earlier date, in which case such representation or warranty shall have been true and correct in all material respects on and as of such earlier date.</w:t>
      </w:r>
    </w:p>
    <w:p>
      <w:pPr>
        <w:pStyle w:val="TextBody"/>
        <w:bidi w:val="0"/>
        <w:spacing w:lineRule="auto" w:line="280"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Each Borrowing Notice or Swing Line Borrowing Notice, as the case may be, or request for issuance of a Facility LC with respect to each such Credit Extension shall constitute a representation and warranty by the Borrower that the conditions contained in Sections 4.2(a) and (b) have been satisfied.</w:t>
      </w:r>
    </w:p>
    <w:p>
      <w:pPr>
        <w:pStyle w:val="TextBody"/>
        <w:bidi w:val="0"/>
        <w:spacing w:lineRule="auto" w:line="559" w:before="225" w:after="283"/>
        <w:ind w:left="0" w:right="0" w:firstLine="1524"/>
        <w:jc w:val="left"/>
        <w:rPr/>
      </w:pPr>
      <w:r>
        <w:rPr>
          <w:rFonts w:ascii="Times New Roman;serif" w:hAnsi="Times New Roman;serif"/>
          <w:b/>
          <w:color w:val="000000"/>
          <w:sz w:val="22"/>
        </w:rPr>
        <w:t xml:space="preserve">ARTICLE V </w:t>
      </w:r>
      <w:r>
        <w:rPr>
          <w:rFonts w:ascii="Times New Roman;serif" w:hAnsi="Times New Roman;serif"/>
          <w:b/>
          <w:color w:val="000000"/>
          <w:sz w:val="22"/>
          <w:u w:val="single"/>
        </w:rPr>
        <w:t>REPRESENTATIONS AND WARRANTIES</w:t>
      </w:r>
    </w:p>
    <w:p>
      <w:pPr>
        <w:pStyle w:val="TextBody"/>
        <w:bidi w:val="0"/>
        <w:spacing w:lineRule="atLeast" w:line="244" w:before="0" w:after="0"/>
        <w:jc w:val="left"/>
        <w:rPr>
          <w:rFonts w:ascii="Times New Roman;serif" w:hAnsi="Times New Roman;serif"/>
          <w:b w:val="false"/>
          <w:color w:val="000000"/>
          <w:sz w:val="22"/>
        </w:rPr>
      </w:pPr>
      <w:r>
        <w:rPr>
          <w:rFonts w:ascii="Times New Roman;serif" w:hAnsi="Times New Roman;serif"/>
          <w:b w:val="false"/>
          <w:color w:val="000000"/>
          <w:sz w:val="22"/>
        </w:rPr>
        <w:t>The Borrower represents and warrants to the Lenders that:</w:t>
      </w:r>
    </w:p>
    <w:p>
      <w:pPr>
        <w:pStyle w:val="TextBody"/>
        <w:bidi w:val="0"/>
        <w:spacing w:lineRule="auto" w:line="288" w:before="239" w:after="283"/>
        <w:ind w:left="0" w:right="0" w:firstLine="719"/>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Existence and Standing</w:t>
      </w:r>
      <w:r>
        <w:rPr>
          <w:rFonts w:ascii="Times New Roman;serif" w:hAnsi="Times New Roman;serif"/>
          <w:b w:val="false"/>
          <w:color w:val="000000"/>
          <w:sz w:val="22"/>
        </w:rPr>
        <w:t>. The Borrower is a corporation duly and properly incorporated and in good standing under the laws of the State of Delaware and has all requisite authority to conduct its business in each jurisdiction in which its business is conducted. Each Restricted Subsidiary is duly organized, validly existing, and in good standing under the laws of the jurisdiction of its organization and has all requisite power and authority to carry on its business as now conducted. Each of the Borrower and the Restricted Subsidiaries (a) holds all certificates of authority, licenses, and permits necessary to carry on its business as presently conducted in each jurisdiction in which it is carrying on such business, except where the failure to hold such certificates, licenses, or permits could not constitute a Material Adverse Effect and (b) is duly qualified and in good standing as a foreign corporation (or other organization) in each jurisdiction in which the character of the properties it owns, leases, or operates or the business it conducts makes such qualification necessary and the failure so to qualify could permanently preclude the Borrower or such Restricted Subsidiary from enforcing its rights with respect to any assets or expose the Borrower to any Material Adverse Effect.</w:t>
      </w:r>
    </w:p>
    <w:p>
      <w:pPr>
        <w:pStyle w:val="TextBody"/>
        <w:bidi w:val="0"/>
        <w:spacing w:lineRule="auto" w:line="288" w:before="239" w:after="283"/>
        <w:ind w:left="0" w:right="0" w:firstLine="719"/>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Authorization and Validity</w:t>
      </w:r>
      <w:r>
        <w:rPr>
          <w:rFonts w:ascii="Times New Roman;serif" w:hAnsi="Times New Roman;serif"/>
          <w:b w:val="false"/>
          <w:color w:val="000000"/>
          <w:sz w:val="22"/>
        </w:rPr>
        <w:t>. The Borrower has the power and authority and legal right to execute and deliver the Loan Documents to which it is a party and to perform its obligations thereunder. The execution and delivery by the Borrower of the Loan Documents to which it is a party and the performance of its obligations thereunder have been duly authorized by proper corporate proceedings, and the Loan Documents to which the Borrower is a party constitute legal, valid and binding obligations of the Borrower enforceable against the Borrower in accordance with their terms, except as enforceability may be limited by bankruptcy, insolvency or similar laws affecting the enforcement of creditors’ rights generally.</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No Conflict; No Default</w:t>
      </w:r>
      <w:r>
        <w:rPr>
          <w:rFonts w:ascii="Times New Roman;serif" w:hAnsi="Times New Roman;serif"/>
          <w:b w:val="false"/>
          <w:color w:val="000000"/>
          <w:sz w:val="22"/>
        </w:rPr>
        <w:t>. Neither the execution and delivery by the Borrower of the Loan Documents to which it is a party, nor the consummation of the transactions therein contemplated, nor</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98830"/>
                <wp:effectExtent l="0" t="0" r="0" b="0"/>
                <wp:wrapNone/>
                <wp:docPr id="72" name="Frame70"/>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compliance with the provisions thereof will violate (i) any law, rule, regulation, order, writ, judgment, injunction, decree or award binding on the Borrower or (ii) the Borrower’s Constituent Documents, or (iii) the provisions of any indenture, instrument or agreement to which the Borrower or any of its Subsidiaries is a party or is subject, or by which it, or its Property, is bound, or conflict with or constitute a default thereunder, or result in, or require, the creation or imposition of any Lien in, of or on the Property of the Borrower or a Restricted Subsidiary pursuant to the terms of any such indenture, instrument or agreement. Neither the Borrower nor any Restricted Subsidiary is in default under or in violation of any such law, statute, rule, regulation, order, writ, judgment, injunction, decree, determination, or award or any such indenture, loan or credit agreement, or other agreement, lease, or instrument in any case in which the consequences of such default or violation could constitute a Material Adverse Effect.</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Government Consent</w:t>
      </w:r>
      <w:r>
        <w:rPr>
          <w:rFonts w:ascii="Times New Roman;serif" w:hAnsi="Times New Roman;serif"/>
          <w:b w:val="false"/>
          <w:color w:val="000000"/>
          <w:sz w:val="22"/>
        </w:rPr>
        <w:t>. No order, consent, adjudication, approval, license, authorization, or validation of, or filing, recording or registration with, or exemption by, or other action in respect of any governmental or public body or authority, or any subdivision thereof, which has not been obtained by the Borrower or any of its Restricted Subsidiaries, is required to be obtained by the Borrower or any of its Restricted Subsidiaries in connection with the execution and delivery of the Loan Documents, the borrowings under this Agreement, the payment and performance by the Borrower of the Obligations or the legality, validity, binding effect or enforceability of any of the Loan Documents.</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Financial Statements and Condition</w:t>
      </w:r>
      <w:r>
        <w:rPr>
          <w:rFonts w:ascii="Times New Roman;serif" w:hAnsi="Times New Roman;serif"/>
          <w:b w:val="false"/>
          <w:color w:val="000000"/>
          <w:sz w:val="22"/>
        </w:rPr>
        <w:t>. The December 31, 2025 audited consolidated financial statements of the Borrower and its Subsidiaries, and the Borrower’s unaudited financial statements dated as of March 31, 2026, heretofore delivered to the Lenders were prepared in accordance with GAAP in effect on the date such statements were prepared and fairly present the consolidated financial condition and operations of the Borrower and its Subsidiaries at such date and the consolidated results of their operations for the period then ended. The consolidated financial projections (including an operating budget and a cash flow budget) of the Borrower heretofore delivered to the Administrative Agent in connection with the most recent audited financial statements were prepared by the Borrower in good faith utilizing assumptions believed by the Borrower to be reasonable at the time.</w:t>
      </w:r>
    </w:p>
    <w:p>
      <w:pPr>
        <w:pStyle w:val="TextBody"/>
        <w:bidi w:val="0"/>
        <w:spacing w:lineRule="auto" w:line="288" w:before="242" w:after="283"/>
        <w:ind w:left="0" w:right="0" w:firstLine="719"/>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Material Adverse Change</w:t>
      </w:r>
      <w:r>
        <w:rPr>
          <w:rFonts w:ascii="Times New Roman;serif" w:hAnsi="Times New Roman;serif"/>
          <w:b w:val="false"/>
          <w:color w:val="000000"/>
          <w:sz w:val="22"/>
        </w:rPr>
        <w:t>. Since the date of the most recent audited financial statements delivered to the Administrative Agent there has been no Material Adverse Effect.</w:t>
      </w:r>
    </w:p>
    <w:p>
      <w:pPr>
        <w:pStyle w:val="TextBody"/>
        <w:bidi w:val="0"/>
        <w:spacing w:lineRule="auto" w:line="288" w:before="238" w:after="283"/>
        <w:ind w:left="0" w:right="0" w:firstLine="719"/>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Taxes</w:t>
      </w:r>
      <w:r>
        <w:rPr>
          <w:rFonts w:ascii="Times New Roman;serif" w:hAnsi="Times New Roman;serif"/>
          <w:b w:val="false"/>
          <w:color w:val="000000"/>
          <w:sz w:val="22"/>
        </w:rPr>
        <w:t>. The Borrower and its Subsidiaries have filed all United States federal and state income Tax returns and all other material Tax returns which are required to be filed by them and have paid all United States federal and state income Taxes and all other material Taxes due from the Borrower and its Subsidiaries, including, without limitation, pursuant to any assessment received by the Borrower or any of its Subsidiaries, except such Taxes, if any, as are being contested in good faith and as to which adequate reserves have been provided in accordance with GAAP and as to which no Lien exists. No Tax Liens have been filed and no claims have been asserted in writing with respect to any such Taxes. The charges, accruals and reserves on the books of the Borrower and its Subsidiaries in respect of any Taxes or other governmental charges are adequate in all material respects.</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Litigation and Contingent Obligations</w:t>
      </w:r>
      <w:r>
        <w:rPr>
          <w:rFonts w:ascii="Times New Roman;serif" w:hAnsi="Times New Roman;serif"/>
          <w:b w:val="false"/>
          <w:color w:val="000000"/>
          <w:sz w:val="22"/>
        </w:rPr>
        <w:t>. There is no litigation, arbitration, governmental investigation, proceeding or inquiry pending or, to the knowledge of any of their officers, threatened against or affecting the Borrower or any of its Subsidiaries which could reasonably be expected to have a Material Adverse Effect or which seeks to prevent, enjoin or delay the making of any Credit Extensions. Other than any liability incident to any litigation, arbitration or proceeding which could not reasonably be expected to have a Material Adverse Effect, the Borrower has no material Contingent Obligations not provided for or disclosed in the financial statements referred to in Section 5.5.</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98830"/>
                <wp:effectExtent l="0" t="0" r="0" b="0"/>
                <wp:wrapNone/>
                <wp:docPr id="73" name="Frame71"/>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19"/>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ERISA</w:t>
      </w:r>
      <w:r>
        <w:rPr>
          <w:rFonts w:ascii="Times New Roman;serif" w:hAnsi="Times New Roman;serif"/>
          <w:b w:val="false"/>
          <w:color w:val="000000"/>
          <w:sz w:val="22"/>
        </w:rPr>
        <w:t>. Each Plan is in substantial compliance with all applicable requirements of ERISA and the Code and with all material applicable rulings and regulations issued under the provisions of ERISA and the Code setting forth those requirements. No Reportable Event has occurred and is continuing with respect to any Plan. All of the minimum funding standards applicable to such Plans have been satisfied and there exists no event or condition that would reasonably be expected to result in the institution of proceedings to terminate any Plan under § 4042 of ERISA. With respect to each Plan subject to Title IV of ERISA, as of the most recent valuation date for such Plan, the present value (determined on the basis of reasonable assumptions employed by the independent actuary for such Plan and previously furnished in writing to the Administrative Agent) of such Plan’s projected benefit obligations did not exceed the fair market value of such Plan’s assets.</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Regulation U</w:t>
      </w:r>
      <w:r>
        <w:rPr>
          <w:rFonts w:ascii="Times New Roman;serif" w:hAnsi="Times New Roman;serif"/>
          <w:b w:val="false"/>
          <w:color w:val="000000"/>
          <w:sz w:val="22"/>
        </w:rPr>
        <w:t>. Margin stock (as defined in Regulation U) constitutes less than 25% of the value of those assets of the Borrower and its Subsidiaries which are subject to any limitation on sale, pledge, or other restriction hereunder. 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Borrower only or of the Borrower and its Subsidiaries on a consolidated basis) subject to the provisions of Section 6.13 or Section 6.16 or subject to any restriction contained in any agreement or instrument between the Borrower and any Lender or any Affiliate of any Lender relating to Indebtedness and within the scope of Section 7.5 will be margin stock.</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The Borrower and its Subsidiaries are in compliance in all material respects with all applicable statutes, rules, regulations, orders and restrictions of any Governmental Authority having jurisdiction over the conduct of their respective businesses or the ownership of their respective Property.</w:t>
      </w:r>
    </w:p>
    <w:p>
      <w:pPr>
        <w:pStyle w:val="TextBody"/>
        <w:bidi w:val="0"/>
        <w:spacing w:lineRule="auto" w:line="288" w:before="241" w:after="283"/>
        <w:ind w:left="0" w:right="0" w:firstLine="719"/>
        <w:jc w:val="both"/>
        <w:rPr/>
      </w:pPr>
      <w:r>
        <w:rPr>
          <w:rFonts w:ascii="Times New Roman;serif" w:hAnsi="Times New Roman;serif"/>
          <w:b w:val="false"/>
          <w:color w:val="000000"/>
          <w:sz w:val="22"/>
        </w:rPr>
        <w:t>1.10.</w:t>
      </w:r>
      <w:r>
        <w:rPr>
          <w:rFonts w:ascii="Times New Roman;serif" w:hAnsi="Times New Roman;serif"/>
          <w:b w:val="false"/>
          <w:color w:val="000000"/>
          <w:sz w:val="22"/>
          <w:u w:val="single"/>
        </w:rPr>
        <w:t>Ownership of Properties</w:t>
      </w:r>
      <w:r>
        <w:rPr>
          <w:rFonts w:ascii="Times New Roman;serif" w:hAnsi="Times New Roman;serif"/>
          <w:b w:val="false"/>
          <w:color w:val="000000"/>
          <w:sz w:val="22"/>
        </w:rPr>
        <w:t>. Except as set forth in Schedule 5.12, on the date of this Agreement, the Borrower and its Restricted Subsidiaries will have good title, free of all Liens other than Permitted Liens, to all of the Property and assets reflected in the Borrower’s most recent consolidated financial statements provided to the Administrative Agent as owned by the Borrower and its Restricted Subsidiaries (other than as may have been disposed of in a manner permitted by Section 6.13(a)).</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1.11.</w:t>
      </w:r>
      <w:r>
        <w:rPr>
          <w:rFonts w:ascii="Times New Roman;serif" w:hAnsi="Times New Roman;serif"/>
          <w:b w:val="false"/>
          <w:color w:val="000000"/>
          <w:sz w:val="22"/>
          <w:u w:val="single"/>
        </w:rPr>
        <w:t>Trademarks; Patents</w:t>
      </w:r>
      <w:r>
        <w:rPr>
          <w:rFonts w:ascii="Times New Roman;serif" w:hAnsi="Times New Roman;serif"/>
          <w:b w:val="false"/>
          <w:color w:val="000000"/>
          <w:sz w:val="22"/>
        </w:rPr>
        <w:t>. Each of the Borrower and the Restricted Subsidiaries possesses or has the right to use all of the patents, trademarks, trade names, service marks, and copyrights, and applications therefor, and all technology, know-how, processes, methods, and designs necessary for the conduct of its business, without known conflict with the rights of others which would reasonably be expected to result in a Material Adverse Effect.</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1.12.</w:t>
      </w:r>
      <w:r>
        <w:rPr>
          <w:rFonts w:ascii="Times New Roman;serif" w:hAnsi="Times New Roman;serif"/>
          <w:b w:val="false"/>
          <w:color w:val="000000"/>
          <w:sz w:val="22"/>
          <w:u w:val="single"/>
        </w:rPr>
        <w:t>Burdensome Restrictions</w:t>
      </w:r>
      <w:r>
        <w:rPr>
          <w:rFonts w:ascii="Times New Roman;serif" w:hAnsi="Times New Roman;serif"/>
          <w:b w:val="false"/>
          <w:color w:val="000000"/>
          <w:sz w:val="22"/>
        </w:rPr>
        <w:t>. Neither the Borrower nor any Restricted Subsidiary is a party to or otherwise bound by any indenture, loan or credit agreement, or lease or other agreement or instrument or subject to any charter, corporate, or partnership restriction that could constitute a Material Adverse Effect.</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Plan Assets; Prohibited Transactions</w:t>
      </w:r>
      <w:r>
        <w:rPr>
          <w:rFonts w:ascii="Times New Roman;serif" w:hAnsi="Times New Roman;serif"/>
          <w:b w:val="false"/>
          <w:color w:val="000000"/>
          <w:sz w:val="22"/>
        </w:rPr>
        <w:t>. The Borrower is not an entity deemed to hold “plan assets” within the meaning of 29 C.F.R. § 2510.3-101, as modified by Section 3(42) of ERISA, of an employee benefit plan (as defined in Section 3(3) of ERISA) which is subject to Title I of ERISA or any plan (within the meaning of Section 4975 of the Code) which is subject to Section 4975 of the Code, and neither the execution of this Agreement nor the making of Credit Extensions hereunder gives rise to a prohibited transaction within the meaning of Section 406 of ERISA or Section 4975 of the Code. The</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98830"/>
                <wp:effectExtent l="0" t="0" r="0" b="0"/>
                <wp:wrapNone/>
                <wp:docPr id="74" name="Frame72"/>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left"/>
        <w:rPr>
          <w:rFonts w:ascii="Times New Roman;serif" w:hAnsi="Times New Roman;serif"/>
          <w:b w:val="false"/>
          <w:color w:val="000000"/>
          <w:sz w:val="22"/>
        </w:rPr>
      </w:pPr>
      <w:r>
        <w:rPr>
          <w:rFonts w:ascii="Times New Roman;serif" w:hAnsi="Times New Roman;serif"/>
          <w:b w:val="false"/>
          <w:color w:val="000000"/>
          <w:sz w:val="22"/>
        </w:rPr>
        <w:t>Borrower is not subject to any law, rule or regulation which is substantially similar to the prohibited transaction provisions of Section 406 of ERISA or Section 4975 of the Code.</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1.13.</w:t>
      </w:r>
      <w:r>
        <w:rPr>
          <w:rFonts w:ascii="Times New Roman;serif" w:hAnsi="Times New Roman;serif"/>
          <w:b w:val="false"/>
          <w:color w:val="000000"/>
          <w:sz w:val="22"/>
          <w:u w:val="single"/>
        </w:rPr>
        <w:t>Environmental Matters</w:t>
      </w:r>
      <w:r>
        <w:rPr>
          <w:rFonts w:ascii="Times New Roman;serif" w:hAnsi="Times New Roman;serif"/>
          <w:b w:val="false"/>
          <w:color w:val="000000"/>
          <w:sz w:val="22"/>
        </w:rPr>
        <w:t>. In the ordinary course of its business, the officers of the Borrower consider the effect of Environmental Laws on the business of the Borrower and its Subsidiaries, in the course of which they identify and evaluate potential risks and liabilities accruing to the Borrower due to Environmental Laws. On the basis of this consideration, the Borrower has concluded its Property and operations and those of its Subsidiaries are in material compliance with applicable Environmental Laws and that none of Borrower or any of its Restricted Subsidiaries is subject to any liability under Environmental Laws that individually or in the aggregate could reasonably be expected to have a Material Adverse Effect. Neither the Borrower nor any Restricted Subsidiary has received any written notice to the effect that its Property and/or operations are not in material compliance with any of the requirements of applicable Environmental Laws or are the subject of any federal or state investigation evaluating whether any remedial action is needed to respond to a release of any Hazardous Material, which non-compliance or remedial action could reasonably be expected to have a Material Adverse Effect.</w:t>
      </w:r>
    </w:p>
    <w:p>
      <w:pPr>
        <w:pStyle w:val="TextBody"/>
        <w:bidi w:val="0"/>
        <w:spacing w:lineRule="auto" w:line="280" w:before="241" w:after="283"/>
        <w:ind w:left="0" w:right="0" w:firstLine="719"/>
        <w:jc w:val="both"/>
        <w:rPr/>
      </w:pPr>
      <w:r>
        <w:rPr>
          <w:rFonts w:ascii="Times New Roman;serif" w:hAnsi="Times New Roman;serif"/>
          <w:b w:val="false"/>
          <w:color w:val="000000"/>
          <w:sz w:val="22"/>
        </w:rPr>
        <w:t>1.14.</w:t>
      </w:r>
      <w:r>
        <w:rPr>
          <w:rFonts w:ascii="Times New Roman;serif" w:hAnsi="Times New Roman;serif"/>
          <w:b w:val="false"/>
          <w:color w:val="000000"/>
          <w:sz w:val="22"/>
          <w:u w:val="single"/>
        </w:rPr>
        <w:t>Investment Company Act</w:t>
      </w:r>
      <w:r>
        <w:rPr>
          <w:rFonts w:ascii="Times New Roman;serif" w:hAnsi="Times New Roman;serif"/>
          <w:b w:val="false"/>
          <w:color w:val="000000"/>
          <w:sz w:val="22"/>
        </w:rPr>
        <w:t>. Neither the Borrower nor any Subsidiary is an “investment company” or a company “controlled” by an “investment company”, within the meaning of the Investment Company Act of 1940.</w:t>
      </w:r>
    </w:p>
    <w:p>
      <w:pPr>
        <w:pStyle w:val="TextBody"/>
        <w:bidi w:val="0"/>
        <w:spacing w:lineRule="auto" w:line="288" w:before="232" w:after="283"/>
        <w:ind w:left="0" w:right="0" w:firstLine="719"/>
        <w:jc w:val="both"/>
        <w:rPr/>
      </w:pPr>
      <w:r>
        <w:rPr>
          <w:rFonts w:ascii="Times New Roman;serif" w:hAnsi="Times New Roman;serif"/>
          <w:b w:val="false"/>
          <w:color w:val="000000"/>
          <w:sz w:val="22"/>
        </w:rPr>
        <w:t>1.15.</w:t>
      </w:r>
      <w:r>
        <w:rPr>
          <w:rFonts w:ascii="Times New Roman;serif" w:hAnsi="Times New Roman;serif"/>
          <w:b w:val="false"/>
          <w:color w:val="000000"/>
          <w:sz w:val="22"/>
          <w:u w:val="single"/>
        </w:rPr>
        <w:t>Insurance</w:t>
      </w:r>
      <w:r>
        <w:rPr>
          <w:rFonts w:ascii="Times New Roman;serif" w:hAnsi="Times New Roman;serif"/>
          <w:b w:val="false"/>
          <w:color w:val="000000"/>
          <w:sz w:val="22"/>
        </w:rPr>
        <w:t>. The Borrower maintains, and has caused each Restricted Subsidiary to maintain, with financially sound and reputable insurance companies insurance on all their Property and liability insurance in such amounts, subject to such deductibles and self-insurance retentions and covering such Properties and risks as is consistent with sound business practice.</w:t>
      </w:r>
    </w:p>
    <w:p>
      <w:pPr>
        <w:pStyle w:val="TextBody"/>
        <w:bidi w:val="0"/>
        <w:spacing w:lineRule="auto" w:line="288" w:before="243" w:after="283"/>
        <w:ind w:left="0" w:right="0" w:hanging="720"/>
        <w:jc w:val="left"/>
        <w:rPr/>
      </w:pPr>
      <w:r>
        <w:rPr>
          <w:rFonts w:ascii="Times New Roman;serif" w:hAnsi="Times New Roman;serif"/>
          <w:b w:val="false"/>
          <w:color w:val="000000"/>
          <w:sz w:val="22"/>
        </w:rPr>
        <w:t>1.16.</w:t>
      </w:r>
      <w:r>
        <w:rPr>
          <w:rFonts w:ascii="Times New Roman;serif" w:hAnsi="Times New Roman;serif"/>
          <w:b w:val="false"/>
          <w:color w:val="000000"/>
          <w:sz w:val="22"/>
          <w:u w:val="single"/>
        </w:rPr>
        <w:t>Solvency</w:t>
      </w:r>
      <w:r>
        <w:rPr>
          <w:rFonts w:ascii="Times New Roman;serif" w:hAnsi="Times New Roman;serif"/>
          <w:b w:val="false"/>
          <w:color w:val="000000"/>
          <w:sz w:val="22"/>
        </w:rPr>
        <w:t>.</w:t>
      </w:r>
    </w:p>
    <w:p>
      <w:pPr>
        <w:pStyle w:val="TextBody"/>
        <w:bidi w:val="0"/>
        <w:spacing w:lineRule="auto" w:line="288" w:before="237"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(a)Immediately after the consummation of the transactions to occur on the Effective Date and immediately following the making of each Credit Extension, if any, made on the Effective Date and after giving effect to the application of the proceeds of such Credit Extensions, (a) the fair value of the assets of the Borrower and its Subsidiaries on a consolidated basis, at a fair valuation, will exceed the debts and liabilities, subordinated, contingent or otherwise, of the Borrower and its Subsidiaries on a consolidated basis; (b) the present fair saleable value of the Property of the Borrower and its Subsidiaries on a consolidated basis will be greater than the amount that will be required to pay the probable liability of the Borrower and its Subsidiaries on a consolidated basis on their debts and other liabilities, subordinated, contingent or otherwise, as such debts and other liabilities become absolute and matured; (c) the Borrower and its Subsidiaries on a consolidated basis will be able to pay their debts and liabilities, subordinated, contingent or otherwise, as such debts and liabilities become absolute and matured; and (d) the Borrower and its Subsidiaries on a consolidated basis will not have unreasonably small capital with which to conduct the businesses in which they are engaged as such businesses are now conducted and are proposed to be conducted after the Effective Date.</w:t>
      </w:r>
    </w:p>
    <w:p>
      <w:pPr>
        <w:pStyle w:val="TextBody"/>
        <w:bidi w:val="0"/>
        <w:spacing w:lineRule="auto" w:line="288"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(b)The Borrower does not intend to, or to permit any of its Subsidiaries to, and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No Default</w:t>
      </w:r>
      <w:r>
        <w:rPr>
          <w:rFonts w:ascii="Times New Roman;serif" w:hAnsi="Times New Roman;serif"/>
          <w:b w:val="false"/>
          <w:color w:val="000000"/>
          <w:sz w:val="22"/>
        </w:rPr>
        <w:t>. As of the Effective Date, no Default or Event of Default has occurred and is continuing.</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98830"/>
                <wp:effectExtent l="0" t="0" r="0" b="0"/>
                <wp:wrapNone/>
                <wp:docPr id="75" name="Frame73"/>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19"/>
        <w:jc w:val="both"/>
        <w:rPr/>
      </w:pPr>
      <w:r>
        <w:rPr>
          <w:rFonts w:ascii="Times New Roman;serif" w:hAnsi="Times New Roman;serif"/>
          <w:b w:val="false"/>
          <w:color w:val="000000"/>
          <w:sz w:val="22"/>
        </w:rPr>
        <w:t>1.17.</w:t>
      </w:r>
      <w:r>
        <w:rPr>
          <w:rFonts w:ascii="Times New Roman;serif" w:hAnsi="Times New Roman;serif"/>
          <w:b w:val="false"/>
          <w:color w:val="000000"/>
          <w:sz w:val="22"/>
          <w:u w:val="single"/>
        </w:rPr>
        <w:t>Anti-Corruption Laws; Sanctions</w:t>
      </w:r>
      <w:r>
        <w:rPr>
          <w:rFonts w:ascii="Times New Roman;serif" w:hAnsi="Times New Roman;serif"/>
          <w:b w:val="false"/>
          <w:color w:val="000000"/>
          <w:sz w:val="22"/>
        </w:rPr>
        <w:t>. The Borrower, its Subsidiaries and their respective officers and employees, and, to the knowledge of the Borrower, its directors and agents, are in compliance with Anti-Corruption Laws and applicable Sanctions in all material respects. The Borrower has implemented and maintains in effect for itself and its Subsidiaries policies and procedures to ensure compliance by the Borrower, its Subsidiaries, and their respective officers, employees, directors, and agents with Anti-Corruption Laws and applicable Sanctions. None of the Borrower’s Subsidiaries, or any directors, officers, employees, agents, or affiliates of the Borrower’s Subsidiaries is an individual or entity that is, or is owned (individually or in the aggregate, directly or indirectly) or controlled by individuals or entities (including any agency, political subdivision or instrumentality of any government) that are (i) the target of any Sanctions or (ii) located, organized or resident in a country or territory that is, or whose government is, the subject of Sanctions (currently Crimea, Cuba, Iran, North Korea, Sudan and Syria). None of the Borrower or any directors, officers, employees, agents, or affiliates of the Borrower is an individual or entity that is, or is 10% or more owned (individually or in the aggregate, directly or indirectly) or controlled by individuals or entities (including any agency, political subdivision or instrumentality of any government) that are (i) the target of any Sanctions or (ii) located, organized or resident in a country or territory that is, or whose government is, the subject of Sanctions (currently Crimea, Cuba, Iran, North Korea, Sudan and Syria).</w:t>
      </w:r>
    </w:p>
    <w:p>
      <w:pPr>
        <w:pStyle w:val="TextBody"/>
        <w:bidi w:val="0"/>
        <w:spacing w:lineRule="auto" w:line="288" w:before="243" w:after="283"/>
        <w:ind w:left="0" w:right="0" w:hanging="720"/>
        <w:jc w:val="left"/>
        <w:rPr/>
      </w:pPr>
      <w:r>
        <w:rPr>
          <w:rFonts w:ascii="Times New Roman;serif" w:hAnsi="Times New Roman;serif"/>
          <w:b w:val="false"/>
          <w:color w:val="000000"/>
          <w:sz w:val="22"/>
        </w:rPr>
        <w:t>1.18.</w:t>
      </w:r>
      <w:r>
        <w:rPr>
          <w:rFonts w:ascii="Times New Roman;serif" w:hAnsi="Times New Roman;serif"/>
          <w:b w:val="false"/>
          <w:color w:val="000000"/>
          <w:sz w:val="22"/>
          <w:u w:val="single"/>
        </w:rPr>
        <w:t>EEA Financial Institution</w:t>
      </w:r>
      <w:r>
        <w:rPr>
          <w:rFonts w:ascii="Times New Roman;serif" w:hAnsi="Times New Roman;serif"/>
          <w:b w:val="false"/>
          <w:color w:val="000000"/>
          <w:sz w:val="22"/>
        </w:rPr>
        <w:t>. No Loan Party is an EEA Financial Institution.</w:t>
      </w:r>
    </w:p>
    <w:p>
      <w:pPr>
        <w:pStyle w:val="TextBody"/>
        <w:bidi w:val="0"/>
        <w:spacing w:lineRule="auto" w:line="288" w:before="236" w:after="283"/>
        <w:ind w:left="0" w:right="0" w:firstLine="719"/>
        <w:jc w:val="both"/>
        <w:rPr/>
      </w:pPr>
      <w:r>
        <w:rPr>
          <w:rFonts w:ascii="Times New Roman;serif" w:hAnsi="Times New Roman;serif"/>
          <w:b w:val="false"/>
          <w:color w:val="000000"/>
          <w:sz w:val="22"/>
        </w:rPr>
        <w:t>1.19.</w:t>
      </w:r>
      <w:r>
        <w:rPr>
          <w:rFonts w:ascii="Times New Roman;serif" w:hAnsi="Times New Roman;serif"/>
          <w:b w:val="false"/>
          <w:color w:val="000000"/>
          <w:sz w:val="22"/>
          <w:u w:val="single"/>
        </w:rPr>
        <w:t>Full Disclosure</w:t>
      </w:r>
      <w:r>
        <w:rPr>
          <w:rFonts w:ascii="Times New Roman;serif" w:hAnsi="Times New Roman;serif"/>
          <w:b w:val="false"/>
          <w:color w:val="000000"/>
          <w:sz w:val="22"/>
        </w:rPr>
        <w:t>. Subject to the following sentence, neither the financial statements referred to in Section 5.5 or Section 6.1, nor any other certificate, written statement, exhibit, or report furnished by or on behalf of the Borrower in connection with or pursuant to this Agreement, contains any untrue statement of a material fact or omits any material fact necessary to make the statements therein not misleading. Certificates or statements furnished by or on behalf of the Borrower to the Administrative Agent consisting of projections or forecasts of future results or events have been prepared in good faith and based on good faith estimates and assumptions of the management of the Borrower, and the Borrower has no reason to believe that such projections or forecasts are not reasonable.</w:t>
      </w:r>
    </w:p>
    <w:p>
      <w:pPr>
        <w:pStyle w:val="TextBody"/>
        <w:bidi w:val="0"/>
        <w:spacing w:lineRule="auto" w:line="288" w:before="243" w:after="283"/>
        <w:ind w:left="0" w:right="0" w:firstLine="719"/>
        <w:jc w:val="both"/>
        <w:rPr/>
      </w:pPr>
      <w:r>
        <w:rPr>
          <w:rFonts w:ascii="Times New Roman;serif" w:hAnsi="Times New Roman;serif"/>
          <w:b w:val="false"/>
          <w:color w:val="000000"/>
          <w:sz w:val="22"/>
        </w:rPr>
        <w:t>1.20.</w:t>
      </w:r>
      <w:r>
        <w:rPr>
          <w:rFonts w:ascii="Times New Roman;serif" w:hAnsi="Times New Roman;serif"/>
          <w:b w:val="false"/>
          <w:color w:val="000000"/>
          <w:sz w:val="22"/>
          <w:u w:val="single"/>
        </w:rPr>
        <w:t>Subsidiaries</w:t>
      </w:r>
      <w:r>
        <w:rPr>
          <w:rFonts w:ascii="Times New Roman;serif" w:hAnsi="Times New Roman;serif"/>
          <w:b w:val="false"/>
          <w:color w:val="000000"/>
          <w:sz w:val="22"/>
        </w:rPr>
        <w:t>. Schedule 5.24 sets forth as of the date of this Agreement a list of all Subsidiaries, the number and percentage of the shares of each class of Equity Interests owned beneficially or of record by the Borrower or any Subsidiary therein and the jurisdiction of incorporation of each Subsidiary, and designates whether such Subsidiary is a Restricted Subsidiary. All of the issued and outstanding Equity Interests of such Subsidiaries have been (to the extent such concepts are relevant with respect to such ownership interests) duly authorized and issued and are fully paid and non-assessable.</w:t>
      </w:r>
    </w:p>
    <w:p>
      <w:pPr>
        <w:pStyle w:val="TextBody"/>
        <w:bidi w:val="0"/>
        <w:spacing w:lineRule="auto" w:line="559" w:before="231" w:after="283"/>
        <w:ind w:left="0" w:right="0" w:firstLine="1"/>
        <w:jc w:val="center"/>
        <w:rPr/>
      </w:pPr>
      <w:r>
        <w:rPr>
          <w:rFonts w:ascii="Times New Roman;serif" w:hAnsi="Times New Roman;serif"/>
          <w:b/>
          <w:color w:val="000000"/>
          <w:sz w:val="22"/>
        </w:rPr>
        <w:t xml:space="preserve">ARTICLE VI </w:t>
      </w:r>
      <w:r>
        <w:rPr>
          <w:rFonts w:ascii="Times New Roman;serif" w:hAnsi="Times New Roman;serif"/>
          <w:b/>
          <w:color w:val="000000"/>
          <w:sz w:val="22"/>
          <w:u w:val="single"/>
        </w:rPr>
        <w:t>COVENANTS</w:t>
      </w:r>
    </w:p>
    <w:p>
      <w:pPr>
        <w:pStyle w:val="TextBody"/>
        <w:bidi w:val="0"/>
        <w:spacing w:lineRule="atLeast" w:line="245" w:before="0" w:after="0"/>
        <w:jc w:val="left"/>
        <w:rPr>
          <w:rFonts w:ascii="Times New Roman;serif" w:hAnsi="Times New Roman;serif"/>
          <w:b w:val="false"/>
          <w:color w:val="000000"/>
          <w:sz w:val="22"/>
        </w:rPr>
      </w:pPr>
      <w:r>
        <w:rPr>
          <w:rFonts w:ascii="Times New Roman;serif" w:hAnsi="Times New Roman;serif"/>
          <w:b w:val="false"/>
          <w:color w:val="000000"/>
          <w:sz w:val="22"/>
        </w:rPr>
        <w:t>During the term of this Agreement, unless the Required Lenders shall otherwise consent in writing:</w:t>
      </w:r>
    </w:p>
    <w:p>
      <w:pPr>
        <w:pStyle w:val="TextBody"/>
        <w:bidi w:val="0"/>
        <w:spacing w:lineRule="auto" w:line="288" w:before="239" w:after="283"/>
        <w:ind w:left="0" w:right="0" w:firstLine="719"/>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Financial Reporting</w:t>
      </w:r>
      <w:r>
        <w:rPr>
          <w:rFonts w:ascii="Times New Roman;serif" w:hAnsi="Times New Roman;serif"/>
          <w:b w:val="false"/>
          <w:color w:val="000000"/>
          <w:sz w:val="22"/>
        </w:rPr>
        <w:t>. The Borrower will maintain, for itself and each Subsidiary, a system of accounting established and administered in accordance with GAAP, and furnish to the Administrative Agent:</w:t>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Within 120 days after the close of each of its fiscal years, an unqualified (except for qualifications relating to changes in accounting principles or practices reflecting changes in GAAP) audit report, with no going concern modifier, certified by independent certified public accountants acceptable to the Lenders, prepared in accordance with GAAP on a consolidated basis for itself and its Subsidiaries,</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98830"/>
                <wp:effectExtent l="0" t="0" r="0" b="0"/>
                <wp:wrapNone/>
                <wp:docPr id="76" name="Frame74"/>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left"/>
        <w:rPr>
          <w:rFonts w:ascii="Times New Roman;serif" w:hAnsi="Times New Roman;serif"/>
          <w:b w:val="false"/>
          <w:color w:val="000000"/>
          <w:sz w:val="22"/>
        </w:rPr>
      </w:pPr>
      <w:r>
        <w:rPr>
          <w:rFonts w:ascii="Times New Roman;serif" w:hAnsi="Times New Roman;serif"/>
          <w:b w:val="false"/>
          <w:color w:val="000000"/>
          <w:sz w:val="22"/>
        </w:rPr>
        <w:t>including balance sheets as of the end of such period, related profit and loss and reconciliation of surplus statements, and a statement of cash flows.</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(c)Within 120 days after the close of each of its fiscal years, consolidating unaudited balance sheets of the Borrower as of the close of each such period and consolidating profit and loss and reconciliation of surplus statements (including sufficient detail for independent calculation of the financial covenants set forth in Section 6.21) and a statement of cash flows of the Borrower for the period from the beginning of such fiscal year to the end of such fiscal year, all certified by its chief financial officer.</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(d)Within 60 days after the close of each fiscal quarter, for itself and its Subsidiaries, consolidated unaudited balance sheets as of the close of each such period and consolidated profit and loss and reconciliation of surplus statements (including sufficient detail for independent calculation of the financial covenants set forth in Section 6.21), a statement of cash flows for the period from the beginning of such fiscal year to the end of such fiscal quarter, all certified by its chief financial officer.</w:t>
      </w:r>
    </w:p>
    <w:p>
      <w:pPr>
        <w:pStyle w:val="TextBody"/>
        <w:bidi w:val="0"/>
        <w:spacing w:lineRule="auto" w:line="288"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(e)Within 30 days of the end of each calendar month, a report of the Borrowing Base as of the end of such month in substantially the form of Exhibit B-1, certified by its chief financial officer.</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(f)As soon as available, but in any event within 120 days after the beginning of each fiscal year of the Borrower, a copy of the plan and forecast (including a projected consolidated balance sheet, income statement and cash flow statement) of the Borrower and Subsidiaries on a consolidated basis for such fiscal year.</w:t>
      </w:r>
    </w:p>
    <w:p>
      <w:pPr>
        <w:pStyle w:val="TextBody"/>
        <w:bidi w:val="0"/>
        <w:spacing w:lineRule="auto" w:line="288" w:before="238"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(g)Together with the financial statements required under Sections 6.1(a) and 6.1(c), a compliance certificate in substantially the form of Exhibit B-2 (the “Compliance Certificate”) signed by its chief financial officer showing the calculations necessary to determine compliance with this Agreement and stating that no Default or Event of Default exists, or if any Default or Event of Default exists, stating the nature and status thereof.</w:t>
      </w:r>
    </w:p>
    <w:p>
      <w:pPr>
        <w:pStyle w:val="TextBody"/>
        <w:bidi w:val="0"/>
        <w:spacing w:lineRule="auto" w:line="283"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(h)Promptly upon the furnishing thereof to the shareholders of the Borrower, copies of all financial statements, reports and proxy statements so furnished.</w:t>
      </w:r>
    </w:p>
    <w:p>
      <w:pPr>
        <w:pStyle w:val="TextBody"/>
        <w:bidi w:val="0"/>
        <w:spacing w:lineRule="auto" w:line="288" w:before="23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(i)Promptly upon the filing thereof, copies of all registration statements and annual, quarterly, monthly or other regular reports which the Borrower or any of its Subsidiaries files with the U.S. Securities and Exchange Commission.</w:t>
      </w:r>
    </w:p>
    <w:p>
      <w:pPr>
        <w:pStyle w:val="TextBody"/>
        <w:bidi w:val="0"/>
        <w:spacing w:lineRule="auto" w:line="288" w:before="242"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(j)[Reserved]</w:t>
      </w:r>
    </w:p>
    <w:p>
      <w:pPr>
        <w:pStyle w:val="TextBody"/>
        <w:bidi w:val="0"/>
        <w:spacing w:lineRule="auto" w:line="288" w:before="241"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(k)[Reserved]</w:t>
      </w:r>
    </w:p>
    <w:p>
      <w:pPr>
        <w:pStyle w:val="TextBody"/>
        <w:bidi w:val="0"/>
        <w:spacing w:lineRule="auto" w:line="283" w:before="237"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(l)Such other information (including non-financial information and environmental reports) as the Administrative Agent may from time to time reasonably request.</w:t>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Immediately upon any officer of the Borrower becoming aware of any Default or Event of Default, a notice describing the nature thereof and what action the Borrower proposes to take with respect thereto. If any information which is required to be furnished to the Lenders under Section 6.1 is required by law or regulation to be filed by the Borrower with a government body on an earlier date, then the information required hereunder shall be furnished to the Lenders at such earlier date. Any financial statement required to be furnished pursuant to Section 6.1(a) or 6.1(c) shall be deemed to have been furnished on the date on which the Lenders receive notice that the Borrower has filed such financial statement with the U.S. Securities and Exchange Commission and is available on the EDGAR website on</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98830"/>
                <wp:effectExtent l="0" t="0" r="0" b="0"/>
                <wp:wrapNone/>
                <wp:docPr id="77" name="Frame75"/>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the Internet at www.sec.gov or any successor government website that is freely and readily available to the Administrative Agent and the Lenders without charge; provided that the Borrower shall give notice of any such filing to the Administrative Agent (who shall then give notice of any such filing to the Lenders). Notwithstanding the foregoing, the Borrower shall deliver paper or electronic copies of any such financial statement to the Administrative Agent if the Administrative Agent requests the Borrower to furnish such paper or electronic copies until written notice to cease delivering such paper or electronic copies is given by the Administrative Agent.</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The Borrower will, and will cause each Subsidiary to, use the proceeds of the Credit Extensions for general corporate purposes, Permitted Acquisitions, repurchases of Borrower Equity Interests, and other purposes specifically contemplated or permitted by this Agreement. The Borrower will not, nor will it permit any Subsidiary to, use any of the proceeds of the Borrowings to purchase or carry any “margin stock” (as defined in Regulation U) to the extent that such transaction would cause the representation set forth in Section 5.10 of this Agreement to be untrue as if remade by the Borrower as of the effectiveness of such transaction, or would otherwise be in violation of Regulation U. The Borrower will not request any Loan or Facility LC, and will not use, and the Borrower will ensure that its Subsidiaries and its or their respective directors, officers, employees and agents shall not use, the proceeds of any Loan or Facility LC in furtherance of an offer, payment, promise to pay, or authorization of the payment or giving of money, or anything else of value, to any Person in violation of any Anti-Corruption Laws. The Borrower will not, directly or indirectly, use the proceeds of the Loans or any Facility LC, or lend, contribute or otherwise make available such proceeds to any subsidiary, joint venture partner or other Person, (i) to fund any activities or business of or with any Person, or in any country or territory, that, at the time of such funding, is, or whose government is, the subject of Sanctions, or (ii) in any other manner that would result in a violation of Sanctions by any Person (including any Person participating in the Loans, whether as underwriter, advisor, investor, or otherwise).</w:t>
      </w:r>
    </w:p>
    <w:p>
      <w:pPr>
        <w:pStyle w:val="TextBody"/>
        <w:bidi w:val="0"/>
        <w:spacing w:lineRule="auto" w:line="280" w:before="241" w:after="283"/>
        <w:ind w:left="0" w:right="0" w:firstLine="719"/>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Notice of Material Events</w:t>
      </w:r>
      <w:r>
        <w:rPr>
          <w:rFonts w:ascii="Times New Roman;serif" w:hAnsi="Times New Roman;serif"/>
          <w:b w:val="false"/>
          <w:color w:val="000000"/>
          <w:sz w:val="22"/>
        </w:rPr>
        <w:t>. The Borrower will, and will cause each Subsidiary to, give notice in writing to the Administrative Agent and each Lender, promptly and in any event within ten days after an officer of the Borrower obtains knowledge thereof, of the occurrence of any of the following:</w:t>
      </w:r>
    </w:p>
    <w:p>
      <w:pPr>
        <w:pStyle w:val="TextBody"/>
        <w:bidi w:val="0"/>
        <w:spacing w:lineRule="auto" w:line="288" w:before="235"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(a)any Default or Event of Default;</w:t>
      </w:r>
    </w:p>
    <w:p>
      <w:pPr>
        <w:pStyle w:val="TextBody"/>
        <w:bidi w:val="0"/>
        <w:spacing w:lineRule="auto" w:line="288" w:before="236"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(b)(i) the filing or commencement of any action, suit or proceeding by or before any arbitrator or Governmental Authority (including pursuant to any applicable Environmental Laws) against or affecting the Borrower or any Affiliate thereof that, if adversely determined, would reasonably be expected to result in a Material Adverse Effect or which seeks to prevent, enjoin or delay the making of any Credit Extensions and (ii) any material adverse development which occurs in any litigation, arbitration or governmental investigation or proceeding previously disclosed by the Borrower or any Subsidiary;</w:t>
      </w:r>
    </w:p>
    <w:p>
      <w:pPr>
        <w:pStyle w:val="TextBody"/>
        <w:bidi w:val="0"/>
        <w:spacing w:lineRule="auto" w:line="288"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(c)with respect to a Plan, (i) any failure to pay all required minimum contributions and installments on or before the due dates provided under Section 430(j) of the Code or (ii) the filing pursuant to Section 412(c) of the Code or Section 302(c) of ERISA, of an application for a waiver of the minimum funding standard;</w:t>
      </w:r>
    </w:p>
    <w:p>
      <w:pPr>
        <w:pStyle w:val="TextBody"/>
        <w:bidi w:val="0"/>
        <w:spacing w:lineRule="auto" w:line="283"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(d)the occurrence of any ERISA Event that, alone or together with any other ERISA Events that have occurred, would reasonably be expected to result in a Material Adverse Effect;</w:t>
      </w:r>
    </w:p>
    <w:p>
      <w:pPr>
        <w:pStyle w:val="TextBody"/>
        <w:bidi w:val="0"/>
        <w:spacing w:lineRule="auto" w:line="283"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material change in accounting policies of, or financial reporting practices by, the Borrower or any Subsidiary; and</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98830"/>
                <wp:effectExtent l="0" t="0" r="0" b="0"/>
                <wp:wrapNone/>
                <wp:docPr id="78" name="Frame76"/>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(e)any other development, financial or otherwise, which would reasonably be expected to have a Material Adverse Effect.</w:t>
      </w:r>
    </w:p>
    <w:p>
      <w:pPr>
        <w:pStyle w:val="TextBody"/>
        <w:bidi w:val="0"/>
        <w:spacing w:lineRule="auto" w:line="280"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Each notice delivered under this Section 6.3 shall be accompanied by a statement of an officer of the Borrower setting forth the details of the event or development requiring such notice and any action taken or proposed to be taken with respect thereto.</w:t>
      </w:r>
    </w:p>
    <w:p>
      <w:pPr>
        <w:pStyle w:val="TextBody"/>
        <w:bidi w:val="0"/>
        <w:spacing w:lineRule="auto" w:line="288" w:before="232" w:after="283"/>
        <w:ind w:left="0" w:right="0" w:firstLine="719"/>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Conduct of Business</w:t>
      </w:r>
      <w:r>
        <w:rPr>
          <w:rFonts w:ascii="Times New Roman;serif" w:hAnsi="Times New Roman;serif"/>
          <w:b w:val="false"/>
          <w:color w:val="000000"/>
          <w:sz w:val="22"/>
        </w:rPr>
        <w:t>. The Borrower will, and will cause each Restricted Subsidiary to, carry on and conduct its business in substantially the same manner and in substantially the same fields of enterprise as it is presently conducted (including activities incidental to the foregoing) and do all things necessary to remain duly incorporated or organized, validly existing and (to the extent such concept applies to such entity) in good standing as a domestic corporation, partnership or limited liability company in its jurisdiction of incorporation or organization, as the case may be, and maintain all requisite authority to conduct its business in each jurisdiction in which its business is conducted, except to the extent compliance with this Section 6.4 would reasonably be expected to directly result in a Material Adverse Effect.</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Taxes</w:t>
      </w:r>
      <w:r>
        <w:rPr>
          <w:rFonts w:ascii="Times New Roman;serif" w:hAnsi="Times New Roman;serif"/>
          <w:b w:val="false"/>
          <w:color w:val="000000"/>
          <w:sz w:val="22"/>
        </w:rPr>
        <w:t>. The Borrower will, and will cause each Subsidiary to, timely file complete and correct United States federal and applicable foreign, state and local tax returns required by law and pay when due all taxes, assessments and governmental charges and levies upon it or its income, profits or Property, except those which are being contested in good faith by appropriate proceedings, with respect to which adequate reserves have been set aside in accordance with GAAP and which could not reasonably be expected, individually or in the aggregate, to have a Material Adverse Effect.</w:t>
      </w:r>
    </w:p>
    <w:p>
      <w:pPr>
        <w:pStyle w:val="TextBody"/>
        <w:bidi w:val="0"/>
        <w:spacing w:lineRule="auto" w:line="288" w:before="241" w:after="283"/>
        <w:ind w:left="0" w:right="0" w:firstLine="719"/>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Insurance</w:t>
      </w:r>
      <w:r>
        <w:rPr>
          <w:rFonts w:ascii="Times New Roman;serif" w:hAnsi="Times New Roman;serif"/>
          <w:b w:val="false"/>
          <w:color w:val="000000"/>
          <w:sz w:val="22"/>
        </w:rPr>
        <w:t>. The Borrower will, and will cause each Restricted Subsidiary to, maintain with financially sound and reputable insurance companies insurance on all their Property and liability insurance in such amounts, subject to such deductibles and covering such Properties and risks as is consistent with sound business practice, and the Borrower will furnish to the Administrative Agent, upon its written request, full information as to the insurance carried. The Administrative Agent shall be named as lender loss payee pursuant to a standard mortgagee provision acceptable to the Administrative Agent and/or additional insured with respect to any such insurance providing coverage in respect of any Collateral, and each provider of any such insurance shall agree, by endorsement upon the policy or policies issued by it or by independent instruments furnished to the Administrative Agent, that it will give the Administrative Agent thirty (30) days prior written notice before any such policy or policies shall be cancelled. The Borrower shall notify the Administrative Agent in writing, promptly after any Authorized Officer’s awareness thereof, if (i) any such policy or policies shall be materially altered in a manner adverse to the Administrative Agent and/or the Lenders or (ii) the amount of coverage thereunder shall be reduced.</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Compliance with Laws and Material Contractual Obligations</w:t>
      </w:r>
      <w:r>
        <w:rPr>
          <w:rFonts w:ascii="Times New Roman;serif" w:hAnsi="Times New Roman;serif"/>
          <w:b w:val="false"/>
          <w:color w:val="000000"/>
          <w:sz w:val="22"/>
        </w:rPr>
        <w:t>. The Borrower will, and will cause each Restricted Subsidiary to, (i) comply in all material respects with all laws, rules, regulations, orders, writs, judgments, injunctions, decrees or awards to which it may be subject including, without limitation, all Environmental Laws, Anti-Corruption Laws and applicable Sanctions and (ii) perform in all material respects its obligations under material agreements to which it is a party. The Borrower will maintain in effect and enforce policies and procedures designed to ensure compliance by the Borrower, its Restricted Subsidiaries and their respective directors, officers, employees and agents with Anti-Corruption Laws and applicable Sanctions. The Borrower will not use or allow any tenants or subtenants to use, or permit any Restricted Subsidiary to use or allow any tenants or subtenants to use, its Property for any business activity that violates, in any material respect, any federal or state law or that supports a business that violates any federal or state law in any material respect.</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98830"/>
                <wp:effectExtent l="0" t="0" r="0" b="0"/>
                <wp:wrapNone/>
                <wp:docPr id="79" name="Frame77"/>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Maintenance of Properties</w:t>
      </w:r>
      <w:r>
        <w:rPr>
          <w:rFonts w:ascii="Times New Roman;serif" w:hAnsi="Times New Roman;serif"/>
          <w:b w:val="false"/>
          <w:color w:val="000000"/>
          <w:sz w:val="22"/>
        </w:rPr>
        <w:t>. The Borrower shall maintain, and cause each Restricted Subsidiary to maintain, its properties used or useful in the conduct of its business in good condition, repair,</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98830"/>
                <wp:effectExtent l="0" t="0" r="0" b="0"/>
                <wp:wrapNone/>
                <wp:docPr id="80" name="Frame78"/>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69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0" w:before="79" w:after="283"/>
        <w:jc w:val="both"/>
        <w:rPr>
          <w:rFonts w:ascii="Times New Roman;serif" w:hAnsi="Times New Roman;serif"/>
          <w:b w:val="false"/>
          <w:color w:val="000000"/>
          <w:sz w:val="22"/>
        </w:rPr>
      </w:pPr>
      <w:r>
        <w:rPr>
          <w:rFonts w:ascii="Times New Roman;serif" w:hAnsi="Times New Roman;serif"/>
          <w:b w:val="false"/>
          <w:color w:val="000000"/>
          <w:sz w:val="22"/>
        </w:rPr>
        <w:t>and working order, and supplied with all necessary equipment, and make all necessary repairs, renewals, replacements, betterments, and improvements thereto, all as reasonably necessary for the business carried on in connection therewith to be properly and advantageously conducted at all times.</w:t>
      </w:r>
    </w:p>
    <w:p>
      <w:pPr>
        <w:pStyle w:val="TextBody"/>
        <w:bidi w:val="0"/>
        <w:spacing w:lineRule="auto" w:line="288" w:before="232" w:after="283"/>
        <w:ind w:left="0" w:right="0" w:firstLine="719"/>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Books and Records; Inspection</w:t>
      </w:r>
      <w:r>
        <w:rPr>
          <w:rFonts w:ascii="Times New Roman;serif" w:hAnsi="Times New Roman;serif"/>
          <w:b w:val="false"/>
          <w:color w:val="000000"/>
          <w:sz w:val="22"/>
        </w:rPr>
        <w:t>. The Borrower will, and will cause each of its Restricted Subsidiaries to, keep proper books of record and account in which full, true and correct entries are made of all dealings and transactions in relation to its business and activities in all material respects. The Borrower will, and will cause each Restricted Subsidiary to, permit the Administrative Agent and the Lenders, by their respective representatives and agents, upon reasonable advance written notice (including email) and, at the Borrower’s expense, to inspect any of the Property, books and financial records of the Borrower and each Restricted Subsidiary, to examine and make copies of the books of accounts and other financial records of the Borrower and each Restricted Subsidiary, and to discuss the affairs, finances and accounts of the Borrower and each Restricted Subsidiary with, and to be advised as to the same by, their respective officers at such reasonable times and intervals as the Administrative Agent or any Lender may designate.</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Payment of Obligations</w:t>
      </w:r>
      <w:r>
        <w:rPr>
          <w:rFonts w:ascii="Times New Roman;serif" w:hAnsi="Times New Roman;serif"/>
          <w:b w:val="false"/>
          <w:color w:val="000000"/>
          <w:sz w:val="22"/>
        </w:rPr>
        <w:t>. The Borrower will, and will cause each of its Subsidiaries to, pay its obligations, including Tax liabilities, that, if not paid, would reasonably be expected to result in a Material Adverse Effect before the same shall become delinquent or in default, except where (a) the validity or amount thereof is being contested in good faith by appropriate proceedings, and (b) the Borrower or such Subsidiary has set aside on its books adequate reserves with respect thereto in accordance with GAAP.</w:t>
      </w:r>
    </w:p>
    <w:p>
      <w:pPr>
        <w:pStyle w:val="TextBody"/>
        <w:bidi w:val="0"/>
        <w:spacing w:lineRule="auto" w:line="283" w:before="240" w:after="283"/>
        <w:ind w:left="0" w:right="0" w:firstLine="719"/>
        <w:jc w:val="both"/>
        <w:rPr/>
      </w:pPr>
      <w:r>
        <w:rPr>
          <w:rFonts w:ascii="Times New Roman;serif" w:hAnsi="Times New Roman;serif"/>
          <w:b w:val="false"/>
          <w:color w:val="000000"/>
          <w:sz w:val="22"/>
        </w:rPr>
        <w:t>1.10.</w:t>
      </w:r>
      <w:r>
        <w:rPr>
          <w:rFonts w:ascii="Times New Roman;serif" w:hAnsi="Times New Roman;serif"/>
          <w:b w:val="false"/>
          <w:color w:val="000000"/>
          <w:sz w:val="22"/>
          <w:u w:val="single"/>
        </w:rPr>
        <w:t>Indebtedness</w:t>
      </w:r>
      <w:r>
        <w:rPr>
          <w:rFonts w:ascii="Times New Roman;serif" w:hAnsi="Times New Roman;serif"/>
          <w:b w:val="false"/>
          <w:color w:val="000000"/>
          <w:sz w:val="22"/>
        </w:rPr>
        <w:t>. The Borrower will not, nor will it permit any Restricted Subsidiary to, create, incur or suffer to exist any Indebtedness, except:</w:t>
      </w:r>
    </w:p>
    <w:p>
      <w:pPr>
        <w:pStyle w:val="TextBody"/>
        <w:bidi w:val="0"/>
        <w:spacing w:lineRule="auto" w:line="288" w:before="233"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(a)The Loans and the Reimbursement Obligations.</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(b)Indebtedness existing on the date hereof and described in Schedule 6.11 and any renewal or extension of such Indebtedness that does not increase the principal amount thereof.</w:t>
      </w:r>
    </w:p>
    <w:p>
      <w:pPr>
        <w:pStyle w:val="TextBody"/>
        <w:bidi w:val="0"/>
        <w:spacing w:lineRule="auto" w:line="283" w:before="238"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(c)Indebtedness arising under Swaps, Rate Protection Agreements or Foreign Currency Hedging Agreements that are non-speculative in nature.</w:t>
      </w:r>
    </w:p>
    <w:p>
      <w:pPr>
        <w:pStyle w:val="TextBody"/>
        <w:bidi w:val="0"/>
        <w:spacing w:lineRule="auto" w:line="288" w:before="23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(d)Indebtedness for the purchase price of equipment used in the ordinary course of the Borrower’s business, provided, that in no event shall the amount of such purchase-money indebtedness with respect to any equipment exceed 100% of the fair market value of such equipment and, provided further, that any interest-bearing Indebtedness permitted under this Section 6.11(d), in the aggregate, shall not exceed $10,000,000 at any time outstanding.</w:t>
      </w:r>
    </w:p>
    <w:p>
      <w:pPr>
        <w:pStyle w:val="TextBody"/>
        <w:bidi w:val="0"/>
        <w:spacing w:lineRule="auto" w:line="288" w:before="243"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(e)Indebtedness secured by Liens permitted under Section 6.16(a)-(i).</w:t>
      </w:r>
    </w:p>
    <w:p>
      <w:pPr>
        <w:pStyle w:val="TextBody"/>
        <w:bidi w:val="0"/>
        <w:spacing w:lineRule="auto" w:line="288" w:before="241"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(f)Contingent consideration payable in connection with a Permitted Acquisition.</w:t>
      </w:r>
    </w:p>
    <w:p>
      <w:pPr>
        <w:pStyle w:val="TextBody"/>
        <w:bidi w:val="0"/>
        <w:spacing w:lineRule="auto" w:line="288" w:before="24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(g)Accounts payable, accruals, and deferred Taxes payable in the ordinary course of business.</w:t>
      </w:r>
    </w:p>
    <w:p>
      <w:pPr>
        <w:pStyle w:val="TextBody"/>
        <w:bidi w:val="0"/>
        <w:spacing w:lineRule="auto" w:line="283" w:before="236"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(h)Other Indebtedness, provided that the aggregate principal amount of Indebtedness permitted under this Section 6.11(h), in the aggregate, does not exceed $13,000,000 at any time outstanding.</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Merger</w:t>
      </w:r>
      <w:r>
        <w:rPr>
          <w:rFonts w:ascii="Times New Roman;serif" w:hAnsi="Times New Roman;serif"/>
          <w:b w:val="false"/>
          <w:color w:val="000000"/>
          <w:sz w:val="22"/>
        </w:rPr>
        <w:t>. The Borrower will not, nor will it permit any Restricted Subsidiary to, merge or consolidate with or into any other Person, or permit any other Person to merge into or consolidate with it, or liquidate or dissolve, except that (i) a Restricted Subsidiary may merge, consolidate, liquidate or dissolve into the Borrower or any wholly-owned Subsidiary (with the Borrower or the wholly-owned Subsidiary</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98830"/>
                <wp:effectExtent l="0" t="0" r="0" b="0"/>
                <wp:wrapNone/>
                <wp:docPr id="81" name="Frame79"/>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being the survivor therefrom) and, after giving effect to such transaction, the Borrower complies with Section 6.27 and (ii) the Borrower or any Restricted Subsidiary may merge or consolidate with or into any Person other than the Borrower or a Subsidiary for the sole purpose of effecting a Permitted Acquisition (with the Borrower or such Subsidiary being the survivor thereof).</w:t>
      </w:r>
    </w:p>
    <w:p>
      <w:pPr>
        <w:pStyle w:val="TextBody"/>
        <w:bidi w:val="0"/>
        <w:spacing w:lineRule="auto" w:line="288" w:before="241" w:after="283"/>
        <w:ind w:left="0" w:right="0" w:firstLine="719"/>
        <w:jc w:val="both"/>
        <w:rPr/>
      </w:pPr>
      <w:r>
        <w:rPr>
          <w:rFonts w:ascii="Times New Roman;serif" w:hAnsi="Times New Roman;serif"/>
          <w:b w:val="false"/>
          <w:color w:val="000000"/>
          <w:sz w:val="22"/>
        </w:rPr>
        <w:t>1.11.</w:t>
      </w:r>
      <w:r>
        <w:rPr>
          <w:rFonts w:ascii="Times New Roman;serif" w:hAnsi="Times New Roman;serif"/>
          <w:b w:val="false"/>
          <w:color w:val="000000"/>
          <w:sz w:val="22"/>
          <w:u w:val="single"/>
        </w:rPr>
        <w:t>Sale of Assets</w:t>
      </w:r>
      <w:r>
        <w:rPr>
          <w:rFonts w:ascii="Times New Roman;serif" w:hAnsi="Times New Roman;serif"/>
          <w:b w:val="false"/>
          <w:color w:val="000000"/>
          <w:sz w:val="22"/>
        </w:rPr>
        <w:t>. The Borrower will not, nor will it permit any Restricted Subsidiary to, lease, sell or otherwise dispose of its Property to any other Person, except:</w:t>
      </w:r>
    </w:p>
    <w:p>
      <w:pPr>
        <w:pStyle w:val="TextBody"/>
        <w:bidi w:val="0"/>
        <w:spacing w:lineRule="auto" w:line="283" w:before="238"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(a)Sales of inventory, or used, worn-out or surplus equipment, all in the ordinary course of business.</w:t>
      </w:r>
    </w:p>
    <w:p>
      <w:pPr>
        <w:pStyle w:val="TextBody"/>
        <w:bidi w:val="0"/>
        <w:spacing w:lineRule="auto" w:line="288" w:before="23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(b)The sale of equipment to the extent that such equipment is exchanged for credit against the purchase price of similar replacement equipment, or the proceeds of such sale are applied with reasonable promptness to the purchase price of such replacement equipment.</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(c)Leases, sales or other dispositions of its Property that, together with all other Property of the Borrower and its Subsidiaries previously leased, sold or disposed of (other than sales otherwise permitted under this Section 6.13(c)) during the twelve-month period ending with the month in which any such lease, sale or other disposition occurs, do not constitute a Substantial Portion of the Property of the Borrower and its Subsidiaries.</w:t>
      </w:r>
    </w:p>
    <w:p>
      <w:pPr>
        <w:pStyle w:val="TextBody"/>
        <w:bidi w:val="0"/>
        <w:spacing w:lineRule="auto" w:line="288" w:before="245"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(d)The China Facility Divestment.</w:t>
      </w:r>
    </w:p>
    <w:p>
      <w:pPr>
        <w:pStyle w:val="TextBody"/>
        <w:bidi w:val="0"/>
        <w:spacing w:lineRule="auto" w:line="288" w:before="239"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(e)The Permitted Tariff Refund Sale.</w:t>
      </w:r>
    </w:p>
    <w:p>
      <w:pPr>
        <w:pStyle w:val="TextBody"/>
        <w:bidi w:val="0"/>
        <w:spacing w:lineRule="auto" w:line="280" w:before="236" w:after="283"/>
        <w:ind w:left="0" w:right="0" w:firstLine="719"/>
        <w:jc w:val="both"/>
        <w:rPr/>
      </w:pPr>
      <w:r>
        <w:rPr>
          <w:rFonts w:ascii="Times New Roman;serif" w:hAnsi="Times New Roman;serif"/>
          <w:b w:val="false"/>
          <w:color w:val="000000"/>
          <w:sz w:val="22"/>
        </w:rPr>
        <w:t>1.12.</w:t>
      </w:r>
      <w:r>
        <w:rPr>
          <w:rFonts w:ascii="Times New Roman;serif" w:hAnsi="Times New Roman;serif"/>
          <w:b w:val="false"/>
          <w:color w:val="000000"/>
          <w:sz w:val="22"/>
          <w:u w:val="single"/>
        </w:rPr>
        <w:t>Investments</w:t>
      </w:r>
      <w:r>
        <w:rPr>
          <w:rFonts w:ascii="Times New Roman;serif" w:hAnsi="Times New Roman;serif"/>
          <w:b w:val="false"/>
          <w:color w:val="000000"/>
          <w:sz w:val="22"/>
        </w:rPr>
        <w:t>. The Borrower will not, nor will it permit any Restricted Subsidiary to, make or suffer to exist any Investments (including without limitation, loans and advances to, and other Investments in, Subsidiaries), or commitments therefor, or to create any Subsidiary or to become or remain a partner in any partnership or joint venture, except:</w:t>
      </w:r>
    </w:p>
    <w:p>
      <w:pPr>
        <w:pStyle w:val="TextBody"/>
        <w:bidi w:val="0"/>
        <w:spacing w:lineRule="auto" w:line="288" w:before="234"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(a)Cash Equivalent Investments.</w:t>
      </w:r>
    </w:p>
    <w:p>
      <w:pPr>
        <w:pStyle w:val="TextBody"/>
        <w:bidi w:val="0"/>
        <w:spacing w:lineRule="auto" w:line="283" w:before="237"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(b)Existing Investments in Subsidiaries and other Investments in existence on the date hereof and described in Schedule 6.14.</w:t>
      </w:r>
    </w:p>
    <w:p>
      <w:pPr>
        <w:pStyle w:val="TextBody"/>
        <w:bidi w:val="0"/>
        <w:spacing w:lineRule="auto" w:line="288" w:before="232"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(c)Investments constituting Permitted Acquisitions.</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(d)Travel advances to management personnel and employees in the ordinary course of business.</w:t>
      </w:r>
    </w:p>
    <w:p>
      <w:pPr>
        <w:pStyle w:val="TextBody"/>
        <w:bidi w:val="0"/>
        <w:spacing w:lineRule="auto" w:line="283" w:before="238"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(e)Investments constituting Swaps, Rate Protection Agreements or Foreign Currency Hedging Agreements that are non-speculative in nature and are permitted under Section 6.18.</w:t>
      </w:r>
    </w:p>
    <w:p>
      <w:pPr>
        <w:pStyle w:val="TextBody"/>
        <w:bidi w:val="0"/>
        <w:spacing w:lineRule="auto" w:line="288" w:before="23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(f)Investments in Subsidiaries after the date of this Agreement, whether through the formation or acquisition of such Subsidiaries, so long as the Borrower has complied with Section 6.27, no Default or Event of Default then exists or would occur as a result of any such Investment, and if any such Investment occurs through an Acquisition, such Acquisition is a Permitted Acquisition.</w:t>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Investments in joint ventures, provided that no Default or Event of Default then exists or would occur as a result of any such Investment.</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98830"/>
                <wp:effectExtent l="0" t="0" r="0" b="0"/>
                <wp:wrapNone/>
                <wp:docPr id="82" name="Frame80"/>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(g)Other readily marketable Investments in debt securities that are reasonably acceptable to the Administrative Agent.</w:t>
      </w:r>
    </w:p>
    <w:p>
      <w:pPr>
        <w:pStyle w:val="TextBody"/>
        <w:bidi w:val="0"/>
        <w:spacing w:lineRule="auto" w:line="280"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(h)Other Investments, provided that the aggregate principal amount of such other Investments does not exceed $7,500,000 at any time outstanding provided that no Default or Event of Default then exists or would occur as a result of any such Investment.</w:t>
      </w:r>
    </w:p>
    <w:p>
      <w:pPr>
        <w:pStyle w:val="TextBody"/>
        <w:bidi w:val="0"/>
        <w:spacing w:lineRule="auto" w:line="288" w:before="232" w:after="283"/>
        <w:ind w:left="0" w:right="0" w:firstLine="719"/>
        <w:jc w:val="both"/>
        <w:rPr/>
      </w:pPr>
      <w:r>
        <w:rPr>
          <w:rFonts w:ascii="Times New Roman;serif" w:hAnsi="Times New Roman;serif"/>
          <w:b w:val="false"/>
          <w:color w:val="000000"/>
          <w:sz w:val="22"/>
        </w:rPr>
        <w:t>1.13.</w:t>
      </w:r>
      <w:r>
        <w:rPr>
          <w:rFonts w:ascii="Times New Roman;serif" w:hAnsi="Times New Roman;serif"/>
          <w:b w:val="false"/>
          <w:color w:val="000000"/>
          <w:sz w:val="22"/>
          <w:u w:val="single"/>
        </w:rPr>
        <w:t>Acquisitions</w:t>
      </w:r>
      <w:r>
        <w:rPr>
          <w:rFonts w:ascii="Times New Roman;serif" w:hAnsi="Times New Roman;serif"/>
          <w:b w:val="false"/>
          <w:color w:val="000000"/>
          <w:sz w:val="22"/>
        </w:rPr>
        <w:t>. The Borrower will not, nor will it permit any Restricted Subsidiary, to make any Acquisition other than a Permitted Acquisition.</w:t>
      </w:r>
    </w:p>
    <w:p>
      <w:pPr>
        <w:pStyle w:val="TextBody"/>
        <w:bidi w:val="0"/>
        <w:spacing w:lineRule="auto" w:line="280" w:before="240" w:after="283"/>
        <w:ind w:left="0" w:right="0" w:firstLine="719"/>
        <w:jc w:val="both"/>
        <w:rPr/>
      </w:pPr>
      <w:r>
        <w:rPr>
          <w:rFonts w:ascii="Times New Roman;serif" w:hAnsi="Times New Roman;serif"/>
          <w:b w:val="false"/>
          <w:color w:val="000000"/>
          <w:sz w:val="22"/>
        </w:rPr>
        <w:t>1.14.</w:t>
      </w:r>
      <w:r>
        <w:rPr>
          <w:rFonts w:ascii="Times New Roman;serif" w:hAnsi="Times New Roman;serif"/>
          <w:b w:val="false"/>
          <w:color w:val="000000"/>
          <w:sz w:val="22"/>
          <w:u w:val="single"/>
        </w:rPr>
        <w:t>Liens</w:t>
      </w:r>
      <w:r>
        <w:rPr>
          <w:rFonts w:ascii="Times New Roman;serif" w:hAnsi="Times New Roman;serif"/>
          <w:b w:val="false"/>
          <w:color w:val="000000"/>
          <w:sz w:val="22"/>
        </w:rPr>
        <w:t>. The Borrower will not, nor will it permit any Restricted Subsidiary to, create, incur, or suffer to exist any Lien in, of or on the Property of the Borrower or any of its Restricted Subsidiaries, except:</w:t>
      </w:r>
    </w:p>
    <w:p>
      <w:pPr>
        <w:pStyle w:val="TextBody"/>
        <w:bidi w:val="0"/>
        <w:spacing w:lineRule="auto" w:line="288" w:before="233"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(a)Liens for taxes, assessments or governmental charges or levies on its Property if the same shall not at the time be delinquent or thereafter can be paid without penalty, or are being contested in good faith and by appropriate proceedings and for which adequate reserves in accordance with GAAP shall have been set aside on its books.</w:t>
      </w:r>
    </w:p>
    <w:p>
      <w:pPr>
        <w:pStyle w:val="TextBody"/>
        <w:bidi w:val="0"/>
        <w:spacing w:lineRule="auto" w:line="288"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(b)Liens imposed by law, such as carriers’, warehousemen’s and mechanics’ liens and other similar liens arising in the ordinary course of business which secure payment of obligations not more than 60 days past due or which are being contested in good faith by appropriate proceedings and for which adequate reserves in accordance with GAAP shall have been set aside on its books.</w:t>
      </w:r>
    </w:p>
    <w:p>
      <w:pPr>
        <w:pStyle w:val="TextBody"/>
        <w:bidi w:val="0"/>
        <w:spacing w:lineRule="auto" w:line="288" w:before="238"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(c)Liens arising out of pledges or deposits under worker’s compensation laws, unemployment</w:t>
      </w:r>
    </w:p>
    <w:p>
      <w:pPr>
        <w:pStyle w:val="TextBody"/>
        <w:bidi w:val="0"/>
        <w:spacing w:lineRule="auto" w:line="288" w:before="4" w:after="283"/>
        <w:jc w:val="left"/>
        <w:rPr>
          <w:rFonts w:ascii="Times New Roman;serif" w:hAnsi="Times New Roman;serif"/>
          <w:b w:val="false"/>
          <w:color w:val="000000"/>
          <w:sz w:val="22"/>
        </w:rPr>
      </w:pPr>
      <w:r>
        <w:rPr>
          <w:rFonts w:ascii="Times New Roman;serif" w:hAnsi="Times New Roman;serif"/>
          <w:b w:val="false"/>
          <w:color w:val="000000"/>
          <w:sz w:val="22"/>
        </w:rPr>
        <w:t>insurance, old age pensions, or other social security or retirement benefits, or similar legislation.</w:t>
      </w:r>
    </w:p>
    <w:p>
      <w:pPr>
        <w:pStyle w:val="TextBody"/>
        <w:bidi w:val="0"/>
        <w:spacing w:lineRule="auto" w:line="288" w:before="237"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(d)Utility easements, building restrictions and such other encumbrances or charges against real property as are of a nature generally existing with respect to Properties of a similar character and which do not in any material way affect the marketability of the same or interfere with the use thereof in the business of the Borrower or its Subsidiaries.</w:t>
      </w:r>
    </w:p>
    <w:p>
      <w:pPr>
        <w:pStyle w:val="TextBody"/>
        <w:bidi w:val="0"/>
        <w:spacing w:lineRule="auto" w:line="288"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(e)Liens arising solely by virtue of any statutory or common law provision relating to bankers’ liens, rights of set-off or similar rights and remedies as to deposit accounts, securities accounts or other funds maintained with a creditor depository institution; provided that (i) such account is not a dedicated cash collateral account and is not subject to restriction against access by Borrower or a Subsidiary in excess of those set forth by regulations promulgated by the Board of Governors of the Federal Reserve, and (ii) such account is not intended by the Borrower or any Subsidiary to provide collateral to the depository institution.</w:t>
      </w:r>
    </w:p>
    <w:p>
      <w:pPr>
        <w:pStyle w:val="TextBody"/>
        <w:bidi w:val="0"/>
        <w:spacing w:lineRule="auto" w:line="288" w:before="243"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(f)Liens existing on the date hereof and described in Schedule 6.16.</w:t>
      </w:r>
    </w:p>
    <w:p>
      <w:pPr>
        <w:pStyle w:val="TextBody"/>
        <w:bidi w:val="0"/>
        <w:spacing w:lineRule="auto" w:line="288" w:before="237"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(g)Liens on Property acquired in a Permitted Acquisition, provided that such Liens extend only to the Property so acquired and were not created in contemplation of such acquisition.</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(h)Liens in favor of the Administrative Agent or its Affiliates, for the benefit of the Lenders, granted pursuant to any Collateral Document.</w:t>
      </w:r>
    </w:p>
    <w:p>
      <w:pPr>
        <w:pStyle w:val="TextBody"/>
        <w:bidi w:val="0"/>
        <w:spacing w:lineRule="auto" w:line="288" w:before="241"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(i)Liens in favor of Bank of China securing Indebtedness in an amount not to exceed</w:t>
      </w:r>
    </w:p>
    <w:p>
      <w:pPr>
        <w:pStyle w:val="TextBody"/>
        <w:bidi w:val="0"/>
        <w:spacing w:lineRule="auto" w:line="288" w:before="240" w:after="283"/>
        <w:ind w:left="0" w:right="0" w:firstLine="719"/>
        <w:jc w:val="left"/>
        <w:rPr>
          <w:rFonts w:ascii="Times New Roman;serif" w:hAnsi="Times New Roman;serif"/>
          <w:b w:val="false"/>
          <w:color w:val="000000"/>
          <w:sz w:val="22"/>
        </w:rPr>
      </w:pPr>
      <w:r>
        <w:rPr>
          <w:rFonts w:ascii="Times New Roman;serif" w:hAnsi="Times New Roman;serif"/>
          <w:b w:val="false"/>
          <w:color w:val="000000"/>
          <w:sz w:val="22"/>
        </w:rPr>
        <w:t>$21,000,000, provided that such Liens do not extend to any Property located in the United States.</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98830"/>
                <wp:effectExtent l="0" t="0" r="0" b="0"/>
                <wp:wrapNone/>
                <wp:docPr id="83" name="Frame81"/>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left"/>
        <w:rPr/>
      </w:pPr>
      <w:r>
        <w:rPr/>
      </w:r>
    </w:p>
    <w:p>
      <w:pPr>
        <w:pStyle w:val="TextBody"/>
        <w:bidi w:val="0"/>
        <w:spacing w:lineRule="auto" w:line="280" w:before="7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(j)Other Liens securing Indebtedness permitted under Section 6.11(h), provided that the aggregate principal amount of Indebtedness secured by Liens described in this clause (j) at any time does not exceed $1,500,000.00.</w:t>
      </w:r>
    </w:p>
    <w:p>
      <w:pPr>
        <w:pStyle w:val="TextBody"/>
        <w:bidi w:val="0"/>
        <w:spacing w:lineRule="auto" w:line="288" w:before="232"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(k)Liens consisting solely of UCC financing statements filed by Jefferies Leveraged Credit Products, LLC (“Jeffries”) relating to the Permitted Tariff Refund Sale, solely to the extent necessary to perfect Jeffries’ ownership interest in the purchased tariff refund claims; provided that such Liens shall not extend to any Property of the Borrower other than the tariff refund claims sold to Jeffries pursuant to the Permitted Tariff Refund Sale.</w:t>
      </w:r>
    </w:p>
    <w:p>
      <w:pPr>
        <w:pStyle w:val="TextBody"/>
        <w:bidi w:val="0"/>
        <w:spacing w:lineRule="auto" w:line="288" w:before="239" w:after="283"/>
        <w:ind w:left="0" w:right="0" w:firstLine="719"/>
        <w:jc w:val="both"/>
        <w:rPr/>
      </w:pPr>
      <w:r>
        <w:rPr>
          <w:rFonts w:ascii="Times New Roman;serif" w:hAnsi="Times New Roman;serif"/>
          <w:b w:val="false"/>
          <w:color w:val="000000"/>
          <w:sz w:val="22"/>
        </w:rPr>
        <w:t>1.15.</w:t>
      </w:r>
      <w:r>
        <w:rPr>
          <w:rFonts w:ascii="Times New Roman;serif" w:hAnsi="Times New Roman;serif"/>
          <w:b w:val="false"/>
          <w:color w:val="000000"/>
          <w:sz w:val="22"/>
          <w:u w:val="single"/>
        </w:rPr>
        <w:t>Transactions with Affiliates</w:t>
      </w:r>
      <w:r>
        <w:rPr>
          <w:rFonts w:ascii="Times New Roman;serif" w:hAnsi="Times New Roman;serif"/>
          <w:b w:val="false"/>
          <w:color w:val="000000"/>
          <w:sz w:val="22"/>
        </w:rPr>
        <w:t>. The Borrower will not, and will not permit any Restricted Subsidiary to, enter into any transaction with any Affiliate of the Borrower except upon fair and reasonable terms no less favorable than the Borrower or such Restricted Subsidiary would obtain in a comparable arm’s-length transaction.</w:t>
      </w:r>
    </w:p>
    <w:p>
      <w:pPr>
        <w:pStyle w:val="TextBody"/>
        <w:bidi w:val="0"/>
        <w:spacing w:lineRule="auto" w:line="280" w:before="242" w:after="283"/>
        <w:ind w:left="0" w:right="0" w:firstLine="719"/>
        <w:jc w:val="both"/>
        <w:rPr/>
      </w:pPr>
      <w:r>
        <w:rPr>
          <w:rFonts w:ascii="Times New Roman;serif" w:hAnsi="Times New Roman;serif"/>
          <w:b w:val="false"/>
          <w:color w:val="000000"/>
          <w:sz w:val="22"/>
        </w:rPr>
        <w:t>1.16.</w:t>
      </w:r>
      <w:r>
        <w:rPr>
          <w:rFonts w:ascii="Times New Roman;serif" w:hAnsi="Times New Roman;serif"/>
          <w:b w:val="false"/>
          <w:color w:val="000000"/>
          <w:sz w:val="22"/>
          <w:u w:val="single"/>
        </w:rPr>
        <w:t>Rate Protection and Foreign Currency Hedging Agreements</w:t>
      </w:r>
      <w:r>
        <w:rPr>
          <w:rFonts w:ascii="Times New Roman;serif" w:hAnsi="Times New Roman;serif"/>
          <w:b w:val="false"/>
          <w:color w:val="000000"/>
          <w:sz w:val="22"/>
        </w:rPr>
        <w:t>. Borrower shall not, and shall not permit any Restricted Subsidiary to, enter into any hedging arrangements, other than any Rate Protection Agreements and Foreign Currency Hedging Agreements.</w:t>
      </w:r>
    </w:p>
    <w:p>
      <w:pPr>
        <w:pStyle w:val="TextBody"/>
        <w:bidi w:val="0"/>
        <w:spacing w:lineRule="auto" w:line="288" w:before="232" w:after="283"/>
        <w:ind w:left="0" w:right="0" w:firstLine="719"/>
        <w:jc w:val="both"/>
        <w:rPr/>
      </w:pPr>
      <w:r>
        <w:rPr>
          <w:rFonts w:ascii="Times New Roman;serif" w:hAnsi="Times New Roman;serif"/>
          <w:b w:val="false"/>
          <w:color w:val="000000"/>
          <w:sz w:val="22"/>
        </w:rPr>
        <w:t>1.17.</w:t>
      </w:r>
      <w:r>
        <w:rPr>
          <w:rFonts w:ascii="Times New Roman;serif" w:hAnsi="Times New Roman;serif"/>
          <w:b w:val="false"/>
          <w:color w:val="000000"/>
          <w:sz w:val="22"/>
          <w:u w:val="single"/>
        </w:rPr>
        <w:t>Restricted Payments</w:t>
      </w:r>
      <w:r>
        <w:rPr>
          <w:rFonts w:ascii="Times New Roman;serif" w:hAnsi="Times New Roman;serif"/>
          <w:b w:val="false"/>
          <w:color w:val="000000"/>
          <w:sz w:val="22"/>
        </w:rPr>
        <w:t>. The Borrower will not, nor will it permit any Restricted Subsidiary to, make any Restricted Payment, except that (i) any Subsidiary may declare and pay dividends or make distributions to the Borrower or to a Wholly-Owned Subsidiary of the Borrower subject to continuing compliance with Section 6.27, (ii) the Borrower may declare and pay dividends on its capital stock or repurchase shares of the Borrower’s capital stock provided that (x) such Restricted Payments do not exceed</w:t>
      </w:r>
    </w:p>
    <w:p>
      <w:pPr>
        <w:pStyle w:val="TextBody"/>
        <w:bidi w:val="0"/>
        <w:spacing w:lineRule="auto" w:line="283" w:before="0" w:after="0"/>
        <w:jc w:val="both"/>
        <w:rPr>
          <w:rFonts w:ascii="Times New Roman;serif" w:hAnsi="Times New Roman;serif"/>
          <w:b w:val="false"/>
          <w:color w:val="000000"/>
          <w:sz w:val="22"/>
        </w:rPr>
      </w:pPr>
      <w:r>
        <w:rPr>
          <w:rFonts w:ascii="Times New Roman;serif" w:hAnsi="Times New Roman;serif"/>
          <w:b w:val="false"/>
          <w:color w:val="000000"/>
          <w:sz w:val="22"/>
        </w:rPr>
        <w:t>$8 million, and (y) no Default or Event of Default shall exist before or after giving effect to such dividends or repurchase as a result thereof.</w:t>
      </w:r>
    </w:p>
    <w:p>
      <w:pPr>
        <w:pStyle w:val="TextBody"/>
        <w:bidi w:val="0"/>
        <w:spacing w:lineRule="auto" w:line="288" w:before="230" w:after="283"/>
        <w:ind w:left="0" w:right="0" w:firstLine="719"/>
        <w:jc w:val="both"/>
        <w:rPr/>
      </w:pPr>
      <w:r>
        <w:rPr>
          <w:rFonts w:ascii="Times New Roman;serif" w:hAnsi="Times New Roman;serif"/>
          <w:b w:val="false"/>
          <w:color w:val="000000"/>
          <w:sz w:val="22"/>
        </w:rPr>
        <w:t>1.18.</w:t>
      </w:r>
      <w:r>
        <w:rPr>
          <w:rFonts w:ascii="Times New Roman;serif" w:hAnsi="Times New Roman;serif"/>
          <w:b w:val="false"/>
          <w:color w:val="000000"/>
          <w:sz w:val="22"/>
          <w:u w:val="single"/>
        </w:rPr>
        <w:t>Restrictive Agreements</w:t>
      </w:r>
      <w:r>
        <w:rPr>
          <w:rFonts w:ascii="Times New Roman;serif" w:hAnsi="Times New Roman;serif"/>
          <w:b w:val="false"/>
          <w:color w:val="000000"/>
          <w:sz w:val="22"/>
        </w:rPr>
        <w:t>. The Borrower will not, and will not permit any of its Restricted Subsidiaries to, directly or indirectly, enter into, incur or permit to exist any agreement or other arrangement that prohibits, restricts or imposes any condition upon (a) the ability of the Borrower or any Restricted Subsidiary to create, incur or permit to exist any Lien upon any of its property or assets, or (b) the ability of any Restricted Subsidiary to pay dividends or other distributions with respect to holders of its equity interests or to make or repay loans or advances to the Borrower or any other Restricted Subsidiary or to guarantee Indebtedness of the Borrower or any other Restricted Subsidiary; provided that (i) the foregoing shall not apply to restrictions and conditions imposed by law or by any Loan Document, (ii) the foregoing shall not apply to customary restrictions and conditions contained in agreements relating to the sale of a Restricted Subsidiary pending such sale, provided such restrictions and conditions apply only to the Restricted Subsidiary that is to be sold and such sale is permitted hereunder, (iii) clause (a) of the foregoing shall not apply to restrictions or conditions imposed by any agreement relating to secured Indebtedness permitted by this Agreement if such restrictions or conditions apply only to the property or assets securing such Indebtedness and (iv) clause (a) of the foregoing shall not apply to customary provisions in leases and other contracts restricting the assignment thereof.</w:t>
      </w:r>
    </w:p>
    <w:p>
      <w:pPr>
        <w:pStyle w:val="TextBody"/>
        <w:bidi w:val="0"/>
        <w:spacing w:lineRule="auto" w:line="288" w:before="243" w:after="283"/>
        <w:ind w:left="0" w:right="0" w:hanging="720"/>
        <w:jc w:val="left"/>
        <w:rPr/>
      </w:pPr>
      <w:r>
        <w:rPr>
          <w:rFonts w:ascii="Times New Roman;serif" w:hAnsi="Times New Roman;serif"/>
          <w:b w:val="false"/>
          <w:color w:val="000000"/>
          <w:sz w:val="22"/>
        </w:rPr>
        <w:t>1.19.</w:t>
      </w:r>
      <w:r>
        <w:rPr>
          <w:rFonts w:ascii="Times New Roman;serif" w:hAnsi="Times New Roman;serif"/>
          <w:b w:val="false"/>
          <w:color w:val="000000"/>
          <w:sz w:val="22"/>
          <w:u w:val="single"/>
        </w:rPr>
        <w:t>Financial Covenants</w:t>
      </w:r>
      <w:r>
        <w:rPr>
          <w:rFonts w:ascii="Times New Roman;serif" w:hAnsi="Times New Roman;serif"/>
          <w:b w:val="false"/>
          <w:color w:val="000000"/>
          <w:sz w:val="22"/>
        </w:rPr>
        <w:t>.</w:t>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Consolidated Fixed Charge Coverage Ratio. Borrower will not permit the Consolidated Fixed Charge Coverage Ratio, measured on a trailing 12-month basis, to be less than 1.50 to 1.00 as of the end of each fiscal quarter.</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98830"/>
                <wp:effectExtent l="0" t="0" r="0" b="0"/>
                <wp:wrapNone/>
                <wp:docPr id="84" name="Frame82"/>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0" w:before="7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(l)Consolidated Cash Flow Leverage Ratio. Borrower will not permit the Consolidated Cash Flow Leverage Ratio, measured on a trailing 12-month basis, to be greater than 2.25 to 1.00 as of the end of each fiscal quarter.</w:t>
      </w:r>
    </w:p>
    <w:p>
      <w:pPr>
        <w:pStyle w:val="TextBody"/>
        <w:bidi w:val="0"/>
        <w:spacing w:lineRule="auto" w:line="288" w:before="232" w:after="283"/>
        <w:ind w:left="0" w:right="0" w:firstLine="719"/>
        <w:jc w:val="both"/>
        <w:rPr/>
      </w:pPr>
      <w:r>
        <w:rPr>
          <w:rFonts w:ascii="Times New Roman;serif" w:hAnsi="Times New Roman;serif"/>
          <w:b w:val="false"/>
          <w:color w:val="000000"/>
          <w:sz w:val="22"/>
        </w:rPr>
        <w:t>1.20.</w:t>
      </w:r>
      <w:r>
        <w:rPr>
          <w:rFonts w:ascii="Times New Roman;serif" w:hAnsi="Times New Roman;serif"/>
          <w:b w:val="false"/>
          <w:color w:val="000000"/>
          <w:sz w:val="22"/>
          <w:u w:val="single"/>
        </w:rPr>
        <w:t>Material Domestic Subsidiaries</w:t>
      </w:r>
      <w:r>
        <w:rPr>
          <w:rFonts w:ascii="Times New Roman;serif" w:hAnsi="Times New Roman;serif"/>
          <w:b w:val="false"/>
          <w:color w:val="000000"/>
          <w:sz w:val="22"/>
        </w:rPr>
        <w:t>. As promptly as possible but in any event within thirty (30) days (or such later date as may be agreed by the Administrative Agent in its sole discretion) after a Material Domestic Subsidiary is organized or acquired, or any Person becomes a Material Domestic Subsidiary pursuant to the definition thereof, or is designated by the Borrower or the Administrative Agent as a Material Domestic Subsidiary, the Borrower shall provide the Administrative Agent with written notice thereof setting forth information in reasonable detail describing the material assets of such Subsidiary and, upon the written request of the Administrative Agent, shall cause each such Subsidiary to (i) enter into a guaranty with the Administrative Agent in a form reasonably acceptable to the Administrative Agent and</w:t>
      </w:r>
    </w:p>
    <w:p>
      <w:pPr>
        <w:pStyle w:val="TextBody"/>
        <w:bidi w:val="0"/>
        <w:spacing w:lineRule="auto" w:line="283" w:before="0" w:after="0"/>
        <w:jc w:val="both"/>
        <w:rPr>
          <w:rFonts w:ascii="Times New Roman;serif" w:hAnsi="Times New Roman;serif"/>
          <w:b w:val="false"/>
          <w:color w:val="000000"/>
          <w:sz w:val="22"/>
        </w:rPr>
      </w:pPr>
      <w:r>
        <w:rPr>
          <w:rFonts w:ascii="Times New Roman;serif" w:hAnsi="Times New Roman;serif"/>
          <w:b w:val="false"/>
          <w:color w:val="000000"/>
          <w:sz w:val="22"/>
        </w:rPr>
        <w:t>(ii) deliver a joinder to the Security Agreement and provide such other documentation as the Administrative Agent may reasonably request.</w:t>
      </w:r>
    </w:p>
    <w:p>
      <w:pPr>
        <w:pStyle w:val="TextBody"/>
        <w:bidi w:val="0"/>
        <w:spacing w:lineRule="auto" w:line="280" w:before="230" w:after="283"/>
        <w:ind w:left="0" w:right="0" w:firstLine="719"/>
        <w:jc w:val="both"/>
        <w:rPr/>
      </w:pPr>
      <w:r>
        <w:rPr>
          <w:rFonts w:ascii="Times New Roman;serif" w:hAnsi="Times New Roman;serif"/>
          <w:b w:val="false"/>
          <w:color w:val="000000"/>
          <w:sz w:val="22"/>
        </w:rPr>
        <w:t>1.21.</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Each Loan Party will, and will cause each Subsidiary to, in keeping with Section 8.3 hereof, as applicable, promptly correct any ambiguity, omission, mistake, defect, inconsistency or error that may be discovered in any Loan Document or in the execution, acknowledgment or recordation thereof.</w:t>
      </w:r>
    </w:p>
    <w:p>
      <w:pPr>
        <w:pStyle w:val="TextBody"/>
        <w:bidi w:val="0"/>
        <w:spacing w:lineRule="auto" w:line="288" w:before="231" w:after="283"/>
        <w:ind w:left="0" w:right="0" w:firstLine="719"/>
        <w:jc w:val="both"/>
        <w:rPr/>
      </w:pPr>
      <w:r>
        <w:rPr>
          <w:rFonts w:ascii="Times New Roman;serif" w:hAnsi="Times New Roman;serif"/>
          <w:b w:val="false"/>
          <w:color w:val="000000"/>
          <w:sz w:val="22"/>
        </w:rPr>
        <w:t>1.22.</w:t>
      </w:r>
      <w:r>
        <w:rPr>
          <w:rFonts w:ascii="Times New Roman;serif" w:hAnsi="Times New Roman;serif"/>
          <w:b w:val="false"/>
          <w:color w:val="000000"/>
          <w:sz w:val="22"/>
          <w:u w:val="single"/>
        </w:rPr>
        <w:t>Anti-Money Laundering Compliance</w:t>
      </w:r>
      <w:r>
        <w:rPr>
          <w:rFonts w:ascii="Times New Roman;serif" w:hAnsi="Times New Roman;serif"/>
          <w:b w:val="false"/>
          <w:color w:val="000000"/>
          <w:sz w:val="22"/>
        </w:rPr>
        <w:t>. The Borrower shall, and shall cause each Subsidiary to, provide such information and take such actions as are reasonably requested by the Administrative Agent or any Lender in order to assist the Administrative Agent and the Lenders in maintaining compliance with anti-money laundering laws and regulations.</w:t>
      </w:r>
    </w:p>
    <w:p>
      <w:pPr>
        <w:pStyle w:val="TextBody"/>
        <w:bidi w:val="0"/>
        <w:spacing w:lineRule="auto" w:line="288" w:before="241" w:after="283"/>
        <w:ind w:left="0" w:right="0" w:firstLine="719"/>
        <w:jc w:val="both"/>
        <w:rPr/>
      </w:pPr>
      <w:r>
        <w:rPr>
          <w:rFonts w:ascii="Times New Roman;serif" w:hAnsi="Times New Roman;serif"/>
          <w:b w:val="false"/>
          <w:color w:val="000000"/>
          <w:sz w:val="22"/>
        </w:rPr>
        <w:t>1.23.</w:t>
      </w:r>
      <w:r>
        <w:rPr>
          <w:rFonts w:ascii="Times New Roman;serif" w:hAnsi="Times New Roman;serif"/>
          <w:b w:val="false"/>
          <w:color w:val="000000"/>
          <w:sz w:val="22"/>
          <w:u w:val="single"/>
        </w:rPr>
        <w:t>Deposit Accounts</w:t>
      </w:r>
      <w:r>
        <w:rPr>
          <w:rFonts w:ascii="Times New Roman;serif" w:hAnsi="Times New Roman;serif"/>
          <w:b w:val="false"/>
          <w:color w:val="000000"/>
          <w:sz w:val="22"/>
        </w:rPr>
        <w:t>. The Borrower will maintain all of its primary United States borrowing, depository, and treasury management at the Administrative Agent for such time as the Administrative Agent is also a Lender.</w:t>
      </w:r>
    </w:p>
    <w:p>
      <w:pPr>
        <w:pStyle w:val="TextBody"/>
        <w:bidi w:val="0"/>
        <w:spacing w:lineRule="auto" w:line="288" w:before="239" w:after="283"/>
        <w:ind w:left="0" w:right="0" w:firstLine="719"/>
        <w:jc w:val="both"/>
        <w:rPr/>
      </w:pPr>
      <w:r>
        <w:rPr>
          <w:rFonts w:ascii="Times New Roman;serif" w:hAnsi="Times New Roman;serif"/>
          <w:b w:val="false"/>
          <w:color w:val="000000"/>
          <w:sz w:val="22"/>
        </w:rPr>
        <w:t>1.24.</w:t>
      </w:r>
      <w:r>
        <w:rPr>
          <w:rFonts w:ascii="Times New Roman;serif" w:hAnsi="Times New Roman;serif"/>
          <w:b w:val="false"/>
          <w:color w:val="000000"/>
          <w:sz w:val="22"/>
          <w:u w:val="single"/>
        </w:rPr>
        <w:t>Existence</w:t>
      </w:r>
      <w:r>
        <w:rPr>
          <w:rFonts w:ascii="Times New Roman;serif" w:hAnsi="Times New Roman;serif"/>
          <w:b w:val="false"/>
          <w:color w:val="000000"/>
          <w:sz w:val="22"/>
        </w:rPr>
        <w:t>. The Borrower shall maintain, and cause each Restricted Subsidiary to maintain, its corporate existence in good standing under the laws of its jurisdiction of organization and its qualification to transact business in each jurisdiction where failure so to qualify would permanently preclude the Borrower or such Restricted Subsidiary from enforcing its rights with respect to any material asset or would expose the Borrower or such Restricted Subsidiary to any material liability; provided, however, that nothing herein shall prohibit the merger or liquidation of any Subsidiary allowed under Section 6.12.</w:t>
      </w:r>
    </w:p>
    <w:p>
      <w:pPr>
        <w:pStyle w:val="TextBody"/>
        <w:bidi w:val="0"/>
        <w:spacing w:lineRule="auto" w:line="288" w:before="239" w:after="283"/>
        <w:ind w:left="0" w:right="0" w:firstLine="719"/>
        <w:jc w:val="both"/>
        <w:rPr/>
      </w:pPr>
      <w:r>
        <w:rPr>
          <w:rFonts w:ascii="Times New Roman;serif" w:hAnsi="Times New Roman;serif"/>
          <w:b w:val="false"/>
          <w:color w:val="000000"/>
          <w:sz w:val="22"/>
        </w:rPr>
        <w:t>1.25.</w:t>
      </w:r>
      <w:r>
        <w:rPr>
          <w:rFonts w:ascii="Times New Roman;serif" w:hAnsi="Times New Roman;serif"/>
          <w:b w:val="false"/>
          <w:color w:val="000000"/>
          <w:sz w:val="22"/>
          <w:u w:val="single"/>
        </w:rPr>
        <w:t>Additional Restricted Subsidiaries</w:t>
      </w:r>
      <w:r>
        <w:rPr>
          <w:rFonts w:ascii="Times New Roman;serif" w:hAnsi="Times New Roman;serif"/>
          <w:b w:val="false"/>
          <w:color w:val="000000"/>
          <w:sz w:val="22"/>
        </w:rPr>
        <w:t>. In the event that upon (a) the delivery of any Compliance Certificate or (b) the completion of any transaction involving the Borrower or any of its Subsidiaries, including the formation or acquisition of any Subsidiary, the aggregate amount of the consolidated assets or aggregate Consolidated EBITDA of the Borrower and the Restricted Subsidiaries existing as of the date for which such Compliance Certificate was prepared or upon giving effect to such transaction was, respectively, either less than (i) 70% of the aggregate amount of the consolidated assets of the Borrower and the Borrower’s Subsidiaries or (ii) 70% of the Consolidated EBITDA of the Borrower and the Borrower’s Subsidiaries, then the Borrower shall, within 30 days thereafter, designate one or more additional Subsidiaries as Restricted Subsidiaries, and each such additional Restricted Subsidiary shall thereafter be a Restricted Subsidiary for all purposes under this Agreement.</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China Cash Balances</w:t>
      </w:r>
      <w:r>
        <w:rPr>
          <w:rFonts w:ascii="Times New Roman;serif" w:hAnsi="Times New Roman;serif"/>
          <w:b w:val="false"/>
          <w:color w:val="000000"/>
          <w:sz w:val="22"/>
        </w:rPr>
        <w:t xml:space="preserve">. The Borrower and its Subsidiaries will not, for any period in excess of three (3) consecutive Business Days, hold cash and cash equivalents in the People’s Republic of China in an aggregate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98830"/>
                <wp:effectExtent l="0" t="0" r="0" b="0"/>
                <wp:wrapNone/>
                <wp:docPr id="85" name="Frame83"/>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amount exceeding $5,000,000 (USD) or its equivalent in other currencies (the “China Cash Cap”). The Borrower and its Subsidiaries will promptly transfer any amounts in excess of the China Cash</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98830"/>
                <wp:effectExtent l="0" t="0" r="0" b="0"/>
                <wp:wrapNone/>
                <wp:docPr id="86" name="Frame84"/>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0" w:before="79" w:after="283"/>
        <w:jc w:val="both"/>
        <w:rPr>
          <w:rFonts w:ascii="Times New Roman;serif" w:hAnsi="Times New Roman;serif"/>
          <w:b w:val="false"/>
          <w:color w:val="000000"/>
          <w:sz w:val="22"/>
        </w:rPr>
      </w:pPr>
      <w:r>
        <w:rPr>
          <w:rFonts w:ascii="Times New Roman;serif" w:hAnsi="Times New Roman;serif"/>
          <w:b w:val="false"/>
          <w:color w:val="000000"/>
          <w:sz w:val="22"/>
        </w:rPr>
        <w:t>Cap to accounts held in the United States, in accordance with applicable laws and regulations. The Borrower will from time to time furnish to the Administrative Agent reports and documentation reasonably requested by the Administrative Agent to verify compliance with the China Cash Cap.</w:t>
      </w:r>
    </w:p>
    <w:p>
      <w:pPr>
        <w:pStyle w:val="TextBody"/>
        <w:bidi w:val="0"/>
        <w:spacing w:lineRule="auto" w:line="559" w:before="222" w:after="283"/>
        <w:jc w:val="center"/>
        <w:rPr/>
      </w:pPr>
      <w:r>
        <w:rPr>
          <w:rFonts w:ascii="Times New Roman;serif" w:hAnsi="Times New Roman;serif"/>
          <w:b/>
          <w:color w:val="000000"/>
          <w:sz w:val="22"/>
        </w:rPr>
        <w:t xml:space="preserve">ARTICLE VII </w:t>
      </w:r>
      <w:r>
        <w:rPr>
          <w:rFonts w:ascii="Times New Roman;serif" w:hAnsi="Times New Roman;serif"/>
          <w:b/>
          <w:color w:val="000000"/>
          <w:sz w:val="22"/>
          <w:u w:val="single"/>
        </w:rPr>
        <w:t>DEFAULTS</w:t>
      </w:r>
    </w:p>
    <w:p>
      <w:pPr>
        <w:pStyle w:val="TextBody"/>
        <w:bidi w:val="0"/>
        <w:spacing w:lineRule="auto" w:line="283" w:before="0" w:after="0"/>
        <w:ind w:left="0" w:right="0" w:firstLine="719"/>
        <w:jc w:val="left"/>
        <w:rPr>
          <w:rFonts w:ascii="Times New Roman;serif" w:hAnsi="Times New Roman;serif"/>
          <w:b w:val="false"/>
          <w:color w:val="000000"/>
          <w:sz w:val="22"/>
        </w:rPr>
      </w:pPr>
      <w:r>
        <w:rPr>
          <w:rFonts w:ascii="Times New Roman;serif" w:hAnsi="Times New Roman;serif"/>
          <w:b w:val="false"/>
          <w:color w:val="000000"/>
          <w:sz w:val="22"/>
        </w:rPr>
        <w:t>The occurrence of any one or more of the following events shall constitute an Event of Default (each, an “Event of Default”):</w:t>
      </w:r>
    </w:p>
    <w:p>
      <w:pPr>
        <w:pStyle w:val="TextBody"/>
        <w:bidi w:val="0"/>
        <w:spacing w:lineRule="auto" w:line="288" w:before="22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1.1.Any representation or warranty made or deemed made by or on behalf of the Borrower or any of its Subsidiaries to the Lenders or the Administrative Agent under or in connection with this Agreement, any Credit Extension, or any certificate or information delivered in connection with this Agreement or any other Loan Document shall be materially false on the date made or confirmed, except to the extent the same expressly relates solely to an earlier date.</w:t>
      </w:r>
    </w:p>
    <w:p>
      <w:pPr>
        <w:pStyle w:val="TextBody"/>
        <w:bidi w:val="0"/>
        <w:spacing w:lineRule="auto" w:line="288" w:before="241" w:after="283"/>
        <w:ind w:left="0" w:right="0" w:firstLine="719"/>
        <w:jc w:val="left"/>
        <w:rPr>
          <w:rFonts w:ascii="Times New Roman;serif" w:hAnsi="Times New Roman;serif"/>
          <w:b w:val="false"/>
          <w:color w:val="000000"/>
          <w:sz w:val="22"/>
        </w:rPr>
      </w:pPr>
      <w:r>
        <w:rPr>
          <w:rFonts w:ascii="Times New Roman;serif" w:hAnsi="Times New Roman;serif"/>
          <w:b w:val="false"/>
          <w:color w:val="000000"/>
          <w:sz w:val="22"/>
        </w:rPr>
        <w:t>1.2.Nonpayment of (i) principal of any Loan when due or (ii) any Reimbursement Obligation, interest upon any Loan, any LC Fee, or any other obligation under any of the Loan Documents within three</w:t>
      </w:r>
    </w:p>
    <w:p>
      <w:pPr>
        <w:pStyle w:val="TextBody"/>
        <w:bidi w:val="0"/>
        <w:spacing w:lineRule="auto" w:line="288" w:before="3" w:after="283"/>
        <w:jc w:val="left"/>
        <w:rPr>
          <w:rFonts w:ascii="Times New Roman;serif" w:hAnsi="Times New Roman;serif"/>
          <w:b w:val="false"/>
          <w:color w:val="000000"/>
          <w:sz w:val="22"/>
        </w:rPr>
      </w:pPr>
      <w:r>
        <w:rPr>
          <w:rFonts w:ascii="Times New Roman;serif" w:hAnsi="Times New Roman;serif"/>
          <w:b w:val="false"/>
          <w:color w:val="000000"/>
          <w:sz w:val="22"/>
        </w:rPr>
        <w:t>(3) Business Days after the same becomes due.</w:t>
      </w:r>
    </w:p>
    <w:p>
      <w:pPr>
        <w:pStyle w:val="TextBody"/>
        <w:bidi w:val="0"/>
        <w:spacing w:lineRule="auto" w:line="288" w:before="239" w:after="283"/>
        <w:ind w:left="0" w:right="0" w:firstLine="719"/>
        <w:jc w:val="left"/>
        <w:rPr>
          <w:rFonts w:ascii="Times New Roman;serif" w:hAnsi="Times New Roman;serif"/>
          <w:b w:val="false"/>
          <w:color w:val="000000"/>
          <w:sz w:val="22"/>
        </w:rPr>
      </w:pPr>
      <w:r>
        <w:rPr>
          <w:rFonts w:ascii="Times New Roman;serif" w:hAnsi="Times New Roman;serif"/>
          <w:b w:val="false"/>
          <w:color w:val="000000"/>
          <w:sz w:val="22"/>
        </w:rPr>
        <w:t>1.3.The breach by the Borrower of any of the terms or provisions of Section 6.1 (Financial Reporting), 6.2 (Use of Proceeds), 6.3 (Notice of Material Events), 6.4 (Conduct of Business),</w:t>
      </w:r>
    </w:p>
    <w:p>
      <w:pPr>
        <w:pStyle w:val="TextBody"/>
        <w:bidi w:val="0"/>
        <w:spacing w:lineRule="atLeast" w:line="251" w:before="0" w:after="0"/>
        <w:jc w:val="left"/>
        <w:rPr>
          <w:rFonts w:ascii="Times New Roman;serif" w:hAnsi="Times New Roman;serif"/>
          <w:b w:val="false"/>
          <w:color w:val="000000"/>
          <w:sz w:val="22"/>
        </w:rPr>
      </w:pPr>
      <w:r>
        <w:rPr>
          <w:rFonts w:ascii="Times New Roman;serif" w:hAnsi="Times New Roman;serif"/>
          <w:b w:val="false"/>
          <w:color w:val="000000"/>
          <w:sz w:val="22"/>
        </w:rPr>
        <w:t>6.7 (Compliance with Laws and Material Contractual Obligations), 6.10 (Payment of Obligations),</w:t>
      </w:r>
    </w:p>
    <w:p>
      <w:pPr>
        <w:pStyle w:val="TextBody"/>
        <w:bidi w:val="0"/>
        <w:spacing w:lineRule="atLeast" w:line="252" w:before="1" w:after="283"/>
        <w:jc w:val="left"/>
        <w:rPr>
          <w:rFonts w:ascii="Times New Roman;serif" w:hAnsi="Times New Roman;serif"/>
          <w:b w:val="false"/>
          <w:color w:val="000000"/>
          <w:sz w:val="22"/>
        </w:rPr>
      </w:pPr>
      <w:r>
        <w:rPr>
          <w:rFonts w:ascii="Times New Roman;serif" w:hAnsi="Times New Roman;serif"/>
          <w:b w:val="false"/>
          <w:color w:val="000000"/>
          <w:sz w:val="22"/>
        </w:rPr>
        <w:t>6.11 (Indebtedness), 6.12 (Merger), 6.13 (Sale of Assets), 6.14 (Investments), 6.15 (Acquisitions),</w:t>
      </w:r>
    </w:p>
    <w:p>
      <w:pPr>
        <w:pStyle w:val="TextBody"/>
        <w:bidi w:val="0"/>
        <w:spacing w:lineRule="auto" w:line="283" w:before="0" w:after="0"/>
        <w:jc w:val="left"/>
        <w:rPr>
          <w:rFonts w:ascii="Times New Roman;serif" w:hAnsi="Times New Roman;serif"/>
          <w:b w:val="false"/>
          <w:color w:val="000000"/>
          <w:sz w:val="22"/>
        </w:rPr>
      </w:pPr>
      <w:r>
        <w:rPr>
          <w:rFonts w:ascii="Times New Roman;serif" w:hAnsi="Times New Roman;serif"/>
          <w:b w:val="false"/>
          <w:color w:val="000000"/>
          <w:sz w:val="22"/>
        </w:rPr>
        <w:t>6.16 (Liens), 6.19 (Restricted Payments), 6.21 (Financial Covenants), 6.24 (Anti-Money Laundering Compliance) or 6.26 (Existence).</w:t>
      </w:r>
    </w:p>
    <w:p>
      <w:pPr>
        <w:pStyle w:val="TextBody"/>
        <w:bidi w:val="0"/>
        <w:spacing w:lineRule="auto" w:line="288" w:before="23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1.4.The breach by the Borrower (other than a breach which constitutes an Event of Default under another Section of this Article VII) of any of the terms or provisions of this Agreement which is not remedied within thirty (30) days after the earlier of (i) the Borrower or any Restricted Subsidiary becoming aware of any such breach and (ii) the Administrative Agent notifying the Borrower of any such breach.</w:t>
      </w:r>
    </w:p>
    <w:p>
      <w:pPr>
        <w:pStyle w:val="TextBody"/>
        <w:bidi w:val="0"/>
        <w:spacing w:lineRule="auto" w:line="288"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1.5.(i) Failure of the Borrower or any of its Subsidiaries to pay when due any payment (whether of principal, interest or any other amount) in respect of any Material Indebtedness, (ii) the default by the Borrower or any of its Subsidiaries in the performance (beyond the applicable grace period with respect thereto, if any) of any term, provision or condition contained in any Material Indebtedness Agreement, or any other event shall occur or condition exist, the effect of which default, event or condition under this clause (ii) is to cause, or to permit the holder(s) of such Material Indebtedness or the lender(s) under any Material Indebtedness Agreement to cause, any portion of such Material Indebtedness to become due prior to its stated maturity or any commitment to lend under any Material Indebtedness Agreement to be terminated prior to its stated expiration date, or (iii) any portion of Material Indebtedness of the Borrower or any of its Subsidiaries shall be declared to be due and payable or required to be prepaid or repurchased (other than by a regularly scheduled payment) prior to the stated maturity thereof.</w:t>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or any of its Subsidiaries shall (i) have an order for relief entered with respect to it under the Federal bankruptcy laws as now or hereafter in effect, (ii) make an assignment for the benefit of creditors, (iii) apply for, seek, consent to, or acquiesce in, the appointment of a receiver, custodian, trustee, examiner, liquidator or similar official for it or any Substantial Portion of its Property, (iv) institute any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98830"/>
                <wp:effectExtent l="0" t="0" r="0" b="0"/>
                <wp:wrapNone/>
                <wp:docPr id="87" name="Frame85"/>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proceeding seeking an order for relief under the Federal bankruptcy laws as now or hereafter in effect or seeking to adjudicate it a bankrupt or insolvent, or seeking dissolution, winding up, liquidation,</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98830"/>
                <wp:effectExtent l="0" t="0" r="0" b="0"/>
                <wp:wrapNone/>
                <wp:docPr id="88" name="Frame86"/>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reorganization, arrangement, adjustment or composition of it or its debts under any law relating to bankruptcy, insolvency or reorganization or relief of debtors or fail to file an answer or other pleading denying the material allegations of any such proceeding filed against it, (v) take any corporate, limited liability company or partnership action to authorize or effect any of the foregoing actions set forth in this Section 7.6, (vi) fail to contest in good faith any appointment or proceeding described in Section 7.7, 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(vii) the Borrower or any of its Subsidiaries shall not pay, or admit in writing its inability to pay, its debts generally as they become due.</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1.6.Without the application, approval or consent of the Borrower or any of its Subsidiaries, a receiver, trustee, examiner, liquidator or similar official shall be appointed for the Borrower or any of its Subsidiaries or any Substantial Portion of its Property, or a proceeding described in Section 7.6(iv) shall be instituted against the Borrower or any of its Subsidiaries and such appointment continues undischarged or such proceeding continues undismissed or unstayed for a period of forty-five (45) consecutive days.</w:t>
      </w:r>
    </w:p>
    <w:p>
      <w:pPr>
        <w:pStyle w:val="TextBody"/>
        <w:bidi w:val="0"/>
        <w:spacing w:lineRule="auto" w:line="288"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1.7.Any court, government or governmental agency shall condemn, seize or otherwise appropriate, or take custody or control of, all or any portion of the Property of the Borrower and its Subsidiaries which, when taken together with all other Property of the Borrower and its Subsidiaries so condemned, seized, appropriated, or taken custody or control of, during the twelve-month period ending with the month in which any such action occurs, constitutes a Substantial Portion.</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1.8.The Borrower or any of its Subsidiaries shall fail within ninety (90) days to pay, obtain a stay with respect to, or otherwise discharge one or more (i) judgments or orders for the payment of money in excess of $500,000 (or the equivalent thereof in currencies other than Dollars) in the aggregate, or (ii) nonmonetary judgments or orders which, individually or in the aggregate, could reasonably be expected to have a Material Adverse Effect; provided, however, that there shall not be an Event of Default under this Section 7.9 to the extent that a judgment or order is stayed on appeal or otherwise is being appropriately contested in good faith in a court of competent jurisdiction.</w:t>
      </w:r>
    </w:p>
    <w:p>
      <w:pPr>
        <w:pStyle w:val="TextBody"/>
        <w:bidi w:val="0"/>
        <w:spacing w:lineRule="auto" w:line="288"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1.9.Any action shall be legally taken by a judgment creditor to attach or levy upon any assets of the Borrower or any of its Subsidiaries to enforce (i) judgments or orders for the payment of money in excess of $500,000 (or the equivalent thereof in currencies other than Dollars) in the aggregate, or (ii) nonmonetary judgments or orders which, individually or in the aggregate, could reasonably be expected to have a Material Adverse Effect; provided, however, that there shall not be an Event of Default under this Section 7.10 to the extent that such action by a judgment creditor is being appropriately contested in good faith in a court of competent jurisdiction.</w:t>
      </w:r>
    </w:p>
    <w:p>
      <w:pPr>
        <w:pStyle w:val="TextBody"/>
        <w:bidi w:val="0"/>
        <w:spacing w:lineRule="auto" w:line="288"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1.10.(i) With respect to a Plan, the Borrower or an ERISA Affiliate is subject to a lien in excess of $500,000 pursuant to Section 430(k) of the Code or Section 302(c) of ERISA or Title IV of ERISA, 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(ii) an ERISA Event shall have occurred that, in the opinion of the Required Lenders, when taken together with all other ERISA Events that have occurred, could reasonably be expected to result in a Material Adverse Effect.</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1.11.Nonpayment by the Borrower or any Subsidiary of any Swap Obligation when due or the breach by the Borrower or any Subsidiary of any term, provision or condition contained in any Swap or any transaction of the type described in the definition of “Swap,” whether or not any Lender or Affiliate of a Lender is a party thereto.</w:t>
      </w:r>
    </w:p>
    <w:p>
      <w:pPr>
        <w:pStyle w:val="TextBody"/>
        <w:bidi w:val="0"/>
        <w:spacing w:lineRule="auto" w:line="288" w:before="0" w:after="0"/>
        <w:ind w:left="0" w:right="0" w:firstLine="719"/>
        <w:jc w:val="left"/>
        <w:rPr>
          <w:rFonts w:ascii="Times New Roman;serif" w:hAnsi="Times New Roman;serif"/>
          <w:b w:val="false"/>
          <w:color w:val="000000"/>
          <w:sz w:val="22"/>
        </w:rPr>
      </w:pPr>
      <w:r>
        <w:rPr>
          <w:rFonts w:ascii="Times New Roman;serif" w:hAnsi="Times New Roman;serif"/>
          <w:b w:val="false"/>
          <w:color w:val="000000"/>
          <w:sz w:val="22"/>
        </w:rPr>
        <w:t>Any Change in Control shall occur.</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98830"/>
                <wp:effectExtent l="0" t="0" r="0" b="0"/>
                <wp:wrapNone/>
                <wp:docPr id="89" name="Frame87"/>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left"/>
        <w:rPr/>
      </w:pPr>
      <w:r>
        <w:rPr/>
      </w:r>
    </w:p>
    <w:p>
      <w:pPr>
        <w:pStyle w:val="TextBody"/>
        <w:bidi w:val="0"/>
        <w:spacing w:lineRule="auto" w:line="280" w:before="7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1.12.The occurrence of any “default”, as defined in any Loan Document (other than this Agreement) or the breach of any of the terms or provisions of any Loan Document (other than this Agreement), which default or breach continues beyond any period of grace therein provided.</w:t>
      </w:r>
    </w:p>
    <w:p>
      <w:pPr>
        <w:pStyle w:val="TextBody"/>
        <w:bidi w:val="0"/>
        <w:spacing w:lineRule="auto" w:line="288" w:before="232"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1.13.Any Loan Document shall fail to remain in full force or effect or any action shall be taken to discontinue or to assert the invalidity or unenforceability of any Guaranty, or any Guarantor shall fail to comply with any of the terms or provisions of any Guaranty to which it is a party, any Guarantor repudiates or purports to revoke its Guaranty or any Guarantor shall otherwise deny that it has any further liability under any Guaranty to which it is a party, or shall give notice to such effect.</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1.14.Any Collateral Document shall for any reason fail to create a valid and perfected first priority security interest in any Collateral purported to be covered thereby, except as permitted by the terms of any Collateral Document or the terms hereof, or any Collateral Document shall fail to remain in full force or effect or any action shall be taken to discontinue or to assert the invalidity or unenforceability of any Collateral Document, or any Loan Party shall fail to comply with any of the terms or provisions of any Collateral Document to which it is a party.</w:t>
      </w:r>
    </w:p>
    <w:p>
      <w:pPr>
        <w:pStyle w:val="TextBody"/>
        <w:bidi w:val="0"/>
        <w:spacing w:lineRule="auto" w:line="288" w:before="242" w:after="283"/>
        <w:jc w:val="center"/>
        <w:rPr>
          <w:rFonts w:ascii="Times New Roman;serif" w:hAnsi="Times New Roman;serif"/>
          <w:b/>
          <w:color w:val="000000"/>
          <w:sz w:val="22"/>
        </w:rPr>
      </w:pPr>
      <w:r>
        <w:rPr>
          <w:rFonts w:ascii="Times New Roman;serif" w:hAnsi="Times New Roman;serif"/>
          <w:b/>
          <w:color w:val="000000"/>
          <w:sz w:val="22"/>
        </w:rPr>
        <w:t>ARTICLE VIII</w:t>
      </w:r>
    </w:p>
    <w:p>
      <w:pPr>
        <w:pStyle w:val="TextBody"/>
        <w:bidi w:val="0"/>
        <w:spacing w:before="3" w:after="283"/>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ACCELERATION, WAIVERS, AMENDMENTS AND REMEDIES</w:t>
      </w:r>
    </w:p>
    <w:p>
      <w:pPr>
        <w:pStyle w:val="TextBody"/>
        <w:bidi w:val="0"/>
        <w:spacing w:lineRule="auto" w:line="288" w:before="239" w:after="283"/>
        <w:ind w:left="0" w:right="0" w:hanging="720"/>
        <w:jc w:val="left"/>
        <w:rPr/>
      </w:pPr>
      <w:r>
        <w:rPr>
          <w:rFonts w:ascii="Times New Roman;serif" w:hAnsi="Times New Roman;serif"/>
          <w:b w:val="false"/>
          <w:color w:val="000000"/>
          <w:sz w:val="22"/>
        </w:rPr>
        <w:t>1.1.</w:t>
      </w:r>
      <w:r>
        <w:rPr>
          <w:rFonts w:ascii="Times New Roman;serif" w:hAnsi="Times New Roman;serif"/>
          <w:b w:val="false"/>
          <w:color w:val="000000"/>
          <w:sz w:val="22"/>
          <w:u w:val="single"/>
        </w:rPr>
        <w:t>Acceleration; Remedies</w:t>
      </w:r>
      <w:r>
        <w:rPr>
          <w:rFonts w:ascii="Times New Roman;serif" w:hAnsi="Times New Roman;serif"/>
          <w:b w:val="false"/>
          <w:color w:val="000000"/>
          <w:sz w:val="22"/>
        </w:rPr>
        <w:t>.</w:t>
      </w:r>
    </w:p>
    <w:p>
      <w:pPr>
        <w:pStyle w:val="TextBody"/>
        <w:bidi w:val="0"/>
        <w:spacing w:lineRule="auto" w:line="288" w:before="237"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(a)If any Event of Default described in Section 7.6 or 7.7 occurs with respect to the Borrower, the obligations of the Lenders to make Loans hereunder and the obligation and power of the LC Issuer to issue Facility LCs shall automatically terminate and the Obligations under this Agreement and the other Loan Documents shall immediately become due and payable without any election or action on the part of the Administrative Agent, the LC Issuer or any Lender and the Borrower will be and become thereby unconditionally obligated, without any further notice, act or demand, to pay to the Administrative Agent an amount in immediately available funds, which funds shall be held in the Facility LC Collateral Account, equal to the difference of (x) the amount of LC Obligations at such time, less (y) the amount on deposit in the Facility LC Collateral Account at such time which is free and clear of all rights and claims of third parties and has not been applied against the Obligations under this Agreement and the other Loan Documents (such difference, the “Collateral Shortfall Amount”). If any other Event of Default occurs, the Administrative Agent may, and at the request of the Required Lenders shall, (a) terminate or suspend the obligations of the Lenders to make Loans hereunder and the obligation and power of the LC Issuer to issue Facility LCs, or declare the Obligations under this Agreement and the other Loan Documents to be due and payable, or both, whereupon the Obligations under this Agreement and the other Loan Documents shall become immediately due and payable, without presentment, demand, protest or notice of any kind, all of which the Borrower hereby expressly waives, and (b) upon notice to the Borrower and in addition to the continuing right to demand payment of all amounts payable under this Agreement, make demand on the Borrower to pay, and the Borrower will, forthwith upon such demand and without any further notice or act, pay to the Administrative Agent the Collateral Shortfall Amount, which funds shall be deposited in the Facility LC Collateral Account.</w:t>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If at any time while any Event of Default is continuing, the Administrative Agent determines that the Collateral Shortfall Amount at such time is greater than zero, the Administrative Agent may make demand on the Borrower to pay, and the Borrower will, forthwith upon such demand and without any further notice or act, pay to the Administrative Agent the Collateral Shortfall Amount, which funds shall be deposited in the Facility LC Collateral Account.</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98830"/>
                <wp:effectExtent l="0" t="0" r="0" b="0"/>
                <wp:wrapNone/>
                <wp:docPr id="90" name="Frame88"/>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79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(b)The Administrative Agent may at any time or from time to time after funds are deposited in the Facility LC Collateral Account, apply such funds to the payment of the Obligations under this Agreement and the other Loan Documents and any other amounts as shall from time to time have become due and payable by the Borrower to the Lenders or the LC Issuer under the Loan Documents, as provided in Section 8.2.</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(c)At any time while any Event of Default is continuing, neither the Borrower nor any Person claiming on behalf of or through the Borrower shall have any right to withdraw any of the funds held in the Facility LC Collateral Account. After all of the Obligations under this Agreement and the other Loan Documents have been indefeasibly paid in full and the Aggregate Revolving Commitment has been terminated, any funds remaining in the Facility LC Collateral Account shall be returned by the Administrative Agent to the Borrower or paid to whomever may be legally entitled thereto at such time.</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(d)If, within thirty (30) days after acceleration of the maturity of the Obligations under this Agreement and the other Loan Documents or termination of the obligations of the Lenders to make Loans and the obligation and power of the LC Issuer to issue Facility LCs hereunder as a result of any Event of Default (other than any Event of Default as described in Section 7.6 or 7.7 with respect to the Borrower) and before any judgment or decree for the payment of the Obligations due under this Agreement and the other Loan Documents shall have been obtained or entered, the Required Lenders (in their sole discretion) shall so direct, the Administrative Agent shall, by notice to the Borrower, rescind and annul such acceleration and/or termination.</w:t>
      </w:r>
    </w:p>
    <w:p>
      <w:pPr>
        <w:pStyle w:val="TextBody"/>
        <w:bidi w:val="0"/>
        <w:spacing w:lineRule="auto" w:line="280" w:before="242"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(e)Upon the occurrence and during the continuation of any Event of Default, the Administrative Agent may, and at the request of the Required Lenders shall, exercise all rights and remedies under the Loan Documents and enforce all other rights and remedies under applicable law.</w:t>
      </w:r>
    </w:p>
    <w:p>
      <w:pPr>
        <w:pStyle w:val="TextBody"/>
        <w:bidi w:val="0"/>
        <w:spacing w:lineRule="auto" w:line="288" w:before="232" w:after="283"/>
        <w:ind w:left="0" w:right="0" w:firstLine="719"/>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Application of Funds</w:t>
      </w:r>
      <w:r>
        <w:rPr>
          <w:rFonts w:ascii="Times New Roman;serif" w:hAnsi="Times New Roman;serif"/>
          <w:b w:val="false"/>
          <w:color w:val="000000"/>
          <w:sz w:val="22"/>
        </w:rPr>
        <w:t>. After the exercise of remedies provided for in Section 8.1 (or after the Obligations under this Agreement and the other Loan Documents have automatically become immediately due and payable as set forth in the first sentence of Section 8.1(a)), any amounts received by the Administrative Agent on account of the Obligations shall be applied by the Administrative Agent in the following order:</w:t>
      </w:r>
    </w:p>
    <w:p>
      <w:pPr>
        <w:pStyle w:val="TextBody"/>
        <w:bidi w:val="0"/>
        <w:spacing w:lineRule="auto" w:line="280"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(a)First, to payment of fees, indemnities, expenses and other amounts (including fees, charges and disbursements of counsel to the Administrative Agent and amounts payable under Article III) payable to the Administrative Agent in its capacity as such;</w:t>
      </w:r>
    </w:p>
    <w:p>
      <w:pPr>
        <w:pStyle w:val="TextBody"/>
        <w:bidi w:val="0"/>
        <w:spacing w:lineRule="auto" w:line="288" w:before="232"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(b)second, to payment of fees, indemnities and other reimbursable expenses (other than principal, interest, and LC Fees) payable to the Lenders and the LC Issuer (including fees, charges and disbursements of counsel to the respective Lenders and the LC Issuer as required by Section 9.6 and amounts payable under Article III);</w:t>
      </w:r>
    </w:p>
    <w:p>
      <w:pPr>
        <w:pStyle w:val="TextBody"/>
        <w:bidi w:val="0"/>
        <w:spacing w:lineRule="auto" w:line="280"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(c)third, to payment of accrued and unpaid LC Fees and interest on the Loans and Reimbursement Obligations, ratably among the Lenders and the LC Issuer in respect of the respective amounts described in this Section 8.2(c) payable to them;</w:t>
      </w:r>
    </w:p>
    <w:p>
      <w:pPr>
        <w:pStyle w:val="TextBody"/>
        <w:bidi w:val="0"/>
        <w:spacing w:lineRule="auto" w:line="280" w:before="232"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(d)fourth, to payment of all Obligations ratably among the Lenders, the LC Issuer and any Affiliate of any of the foregoing, including with respect to Lender-Provided Swaps and Cash Management Services;</w:t>
      </w:r>
    </w:p>
    <w:p>
      <w:pPr>
        <w:pStyle w:val="TextBody"/>
        <w:bidi w:val="0"/>
        <w:spacing w:lineRule="auto" w:line="283"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fifth, to the Administrative Agent for deposit to the Facility LC Collateral Account in an amount equal to the Collateral Shortfall Amount (as defined in Section 8.1(a)), if any; and</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98830"/>
                <wp:effectExtent l="0" t="0" r="0" b="0"/>
                <wp:wrapNone/>
                <wp:docPr id="91" name="Frame89"/>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(e)last, the balance, if any, to the Borrower or as otherwise required by law; provided, however, that, notwithstanding anything to the contrary set forth above, Excluded Swap Obligations with respect to any Guarantor shall not be paid with amounts received from such Guarantor or its assets, but appropriate adjustments shall be made with respect to payments from other Loan Parties to preserve the allocation to Obligations otherwise set forth above in this Section 8.2.</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Amendments</w:t>
      </w:r>
      <w:r>
        <w:rPr>
          <w:rFonts w:ascii="Times New Roman;serif" w:hAnsi="Times New Roman;serif"/>
          <w:b w:val="false"/>
          <w:color w:val="000000"/>
          <w:sz w:val="22"/>
        </w:rPr>
        <w:t>. Subject to the provisions of this Section 8.3, the Required Lenders (or the Administrative Agent with the consent in writing of the Required Lenders) and the Borrower may enter into agreements supplemental hereto for the purpose of adding or modifying any provisions to this Agreement or the Security Agreement or changing in any manner the rights of the Lenders or the Borrower hereunder or thereunder or waiving any Default or Event of Default hereunder; provided, however, that no such supplemental agreement shall:</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(a)without the consent of each Lender directly affected thereby, extend the final maturity of any Loan, or extend the expiry date of any Facility LC to a date after the Facility Termination Date or postpone any regularly scheduled payment of principal of any Loan or forgive all or any portion of the principal amount thereof or any Reimbursement Obligation related thereto, or reduce the rate or extend the time of payment of interest or fees thereon or Reimbursement Obligations related thereto or extend or increase the amount of the Revolving Commitment of such Lender hereunder.</w:t>
      </w:r>
    </w:p>
    <w:p>
      <w:pPr>
        <w:pStyle w:val="TextBody"/>
        <w:bidi w:val="0"/>
        <w:spacing w:lineRule="auto" w:line="288"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(b)without the consent of all of the Lenders, reduce the percentage specified in the definition of Required Lenders, make any Loans in any currency other than Dollars, or otherwise change the definition of Required Lenders or any other provision specifying the number or percentage of Lenders required to amend, waive or otherwise modify any rights hereunder or make any determination or grant any consent hereunder.</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(c)without the consent of all of the Lenders, amend Section 8.2, this Section 8.3 or Section 11.2; provided, that the foregoing limitation in respect of Section 11.2 shall not prohibit each Lender directly affected thereby from consenting to the extension of the final maturity date of its Loans or expiry date of its Facility LCs beyond the Facility Termination Date as contemplated by Section 8.3(a) above.</w:t>
      </w:r>
    </w:p>
    <w:p>
      <w:pPr>
        <w:pStyle w:val="TextBody"/>
        <w:bidi w:val="0"/>
        <w:spacing w:lineRule="auto" w:line="280" w:before="24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(d)without the consent of all of the Lenders, release all or substantially any Guarantor of the Obligations or, except as otherwise provided in Section 10.17, release all or substantially all of the Collateral.</w:t>
      </w:r>
    </w:p>
    <w:p>
      <w:pPr>
        <w:pStyle w:val="TextBody"/>
        <w:bidi w:val="0"/>
        <w:spacing w:lineRule="auto" w:line="288" w:before="232"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No amendment of any provision of this Agreement relating to the Administrative Agent shall be effective without the written consent of the Administrative Agent, and no amendment of any provision relating to the LC Issuer shall be effective without the written consent of the LC Issuer. No amendment to any provision of this Agreement relating to the Swing Line Lender or any Swing Line Loans shall be effective without the written consent of the Swing Line Lender. The Administrative Agent may waive payment of the fee required under Section 12.3(c) without obtaining the consent of any other party to this Agreement. Notwithstanding anything to the contrary herein, the Administrative Agent may, with the consent of the Borrower only, amend, modify or supplement this Agreement or any of the other Loan Documents to cure any ambiguity, omission, mistake, defect or inconsistency of a technical or immaterial nature, as determined in good faith by the Administrative Agent.</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Preservation of Rights</w:t>
      </w:r>
      <w:r>
        <w:rPr>
          <w:rFonts w:ascii="Times New Roman;serif" w:hAnsi="Times New Roman;serif"/>
          <w:b w:val="false"/>
          <w:color w:val="000000"/>
          <w:sz w:val="22"/>
        </w:rPr>
        <w:t>. No delay or omission of the Lenders, the LC Issuer or the Administrative Agent to exercise any right under the Loan Documents shall impair such right or be construed to be a waiver of any Event of Default or an acquiescence therein, and the making of a Credit Extension notwithstanding the existence of an Event of Default or the inability of the Borrower to satisfy</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98830"/>
                <wp:effectExtent l="0" t="0" r="0" b="0"/>
                <wp:wrapNone/>
                <wp:docPr id="92" name="Frame90"/>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the conditions precedent to such Credit Extension shall not constitute any waiver or acquiescence. Any single or partial exercise of any such right shall not preclude other or further exercise thereof or the exercise of any other right, and no waiver, amendment or other variation of the terms, conditions or provisions of the Loan Documents whatsoever shall be valid unless in writing signed by the Lenders required pursuant to Section 8.3, and then only to the extent in such writing specifically set forth. All remedies contained in the Loan Documents or by law afforded shall be cumulative and all shall be available to the Administrative Agent, the LC Issuer and the Lenders until the Obligations have been paid in full.</w:t>
      </w:r>
    </w:p>
    <w:p>
      <w:pPr>
        <w:pStyle w:val="TextBody"/>
        <w:bidi w:val="0"/>
        <w:spacing w:lineRule="auto" w:line="559" w:before="230" w:after="283"/>
        <w:ind w:left="0" w:right="0" w:firstLine="607"/>
        <w:jc w:val="left"/>
        <w:rPr/>
      </w:pPr>
      <w:r>
        <w:rPr>
          <w:rFonts w:ascii="Times New Roman;serif" w:hAnsi="Times New Roman;serif"/>
          <w:b/>
          <w:color w:val="000000"/>
          <w:sz w:val="22"/>
        </w:rPr>
        <w:t xml:space="preserve">ARTICLE IX </w:t>
      </w:r>
      <w:r>
        <w:rPr>
          <w:rFonts w:ascii="Times New Roman;serif" w:hAnsi="Times New Roman;serif"/>
          <w:b/>
          <w:color w:val="000000"/>
          <w:sz w:val="22"/>
          <w:u w:val="single"/>
        </w:rPr>
        <w:t>GENERAL PROVISIONS</w:t>
      </w:r>
    </w:p>
    <w:p>
      <w:pPr>
        <w:pStyle w:val="TextBody"/>
        <w:bidi w:val="0"/>
        <w:spacing w:lineRule="auto" w:line="280" w:before="0" w:after="0"/>
        <w:ind w:left="0" w:right="0" w:firstLine="719"/>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Survival of Representations</w:t>
      </w:r>
      <w:r>
        <w:rPr>
          <w:rFonts w:ascii="Times New Roman;serif" w:hAnsi="Times New Roman;serif"/>
          <w:b w:val="false"/>
          <w:color w:val="000000"/>
          <w:sz w:val="22"/>
        </w:rPr>
        <w:t>. All representations and warranties of the Borrower contained in this Agreement shall survive the making of the Credit Extensions herein contemplated.</w:t>
      </w:r>
    </w:p>
    <w:p>
      <w:pPr>
        <w:pStyle w:val="TextBody"/>
        <w:bidi w:val="0"/>
        <w:spacing w:lineRule="auto" w:line="280" w:before="227" w:after="283"/>
        <w:ind w:left="0" w:right="0" w:firstLine="719"/>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Governmental Regulation</w:t>
      </w:r>
      <w:r>
        <w:rPr>
          <w:rFonts w:ascii="Times New Roman;serif" w:hAnsi="Times New Roman;serif"/>
          <w:b w:val="false"/>
          <w:color w:val="000000"/>
          <w:sz w:val="22"/>
        </w:rPr>
        <w:t>. Anything contained in this Agreement to the contrary notwithstanding, neither the LC Issuer nor any Lender shall be obligated to extend credit to the Borrower in violation of any limitation or prohibition provided by any applicable statute or regulation.</w:t>
      </w:r>
    </w:p>
    <w:p>
      <w:pPr>
        <w:pStyle w:val="TextBody"/>
        <w:bidi w:val="0"/>
        <w:spacing w:lineRule="auto" w:line="283" w:before="232" w:after="283"/>
        <w:ind w:left="0" w:right="0" w:firstLine="719"/>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Headings</w:t>
      </w:r>
      <w:r>
        <w:rPr>
          <w:rFonts w:ascii="Times New Roman;serif" w:hAnsi="Times New Roman;serif"/>
          <w:b w:val="false"/>
          <w:color w:val="000000"/>
          <w:sz w:val="22"/>
        </w:rPr>
        <w:t>. Section headings in the Loan Documents are for convenience of reference only, and shall not govern the interpretation of any of the provisions of the Loan Documents.</w:t>
      </w:r>
    </w:p>
    <w:p>
      <w:pPr>
        <w:pStyle w:val="TextBody"/>
        <w:bidi w:val="0"/>
        <w:spacing w:lineRule="auto" w:line="288" w:before="231" w:after="283"/>
        <w:ind w:left="0" w:right="0" w:firstLine="719"/>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The Loan Documents embody the entire agreement and understanding among the Borrower, the Administrative Agent, the LC Issuer and the Lenders and supersede all prior agreements and understandings among the Borrower, the Administrative Agent, the LC Issuer and the Lenders relating to the subject matter thereof.</w:t>
      </w:r>
    </w:p>
    <w:p>
      <w:pPr>
        <w:pStyle w:val="TextBody"/>
        <w:bidi w:val="0"/>
        <w:spacing w:lineRule="auto" w:line="288" w:before="241" w:after="283"/>
        <w:ind w:left="0" w:right="0" w:firstLine="719"/>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Several Obligations; Benefits of this Agreement</w:t>
      </w:r>
      <w:r>
        <w:rPr>
          <w:rFonts w:ascii="Times New Roman;serif" w:hAnsi="Times New Roman;serif"/>
          <w:b w:val="false"/>
          <w:color w:val="000000"/>
          <w:sz w:val="22"/>
        </w:rPr>
        <w:t>. The respective obligations of the Lenders hereunder are several and not joint and no Lender shall be the partner or agent of any other (except to the extent to which the Administrative Agent is authorized to act as such). The failure of any Lender to perform any of its obligations hereunder shall not relieve any other Lender from any of its obligations hereunder. This Agreement shall not be construed so as to confer any right or benefit upon any Person other than the parties to this Agreement and their respective successors and assigns.</w:t>
      </w:r>
    </w:p>
    <w:p>
      <w:pPr>
        <w:pStyle w:val="TextBody"/>
        <w:bidi w:val="0"/>
        <w:spacing w:lineRule="auto" w:line="288" w:before="241" w:after="283"/>
        <w:ind w:left="0" w:right="0" w:hanging="720"/>
        <w:jc w:val="left"/>
        <w:rPr/>
      </w:pPr>
      <w:r>
        <w:rPr>
          <w:rFonts w:ascii="Times New Roman;serif" w:hAnsi="Times New Roman;serif"/>
          <w:b w:val="false"/>
          <w:color w:val="000000"/>
          <w:sz w:val="22"/>
        </w:rPr>
        <w:t>1.6.</w:t>
      </w:r>
      <w:r>
        <w:rPr>
          <w:rFonts w:ascii="Times New Roman;serif" w:hAnsi="Times New Roman;serif"/>
          <w:b w:val="false"/>
          <w:color w:val="000000"/>
          <w:sz w:val="22"/>
          <w:u w:val="single"/>
        </w:rPr>
        <w:t>Expenses; Indemnification</w:t>
      </w:r>
      <w:r>
        <w:rPr>
          <w:rFonts w:ascii="Times New Roman;serif" w:hAnsi="Times New Roman;serif"/>
          <w:b w:val="false"/>
          <w:color w:val="000000"/>
          <w:sz w:val="22"/>
        </w:rPr>
        <w:t>.</w:t>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The Borrower shall reimburse the Administrative Agent and the Arranger upon demand for all reasonable, necessary and actual out-of-pocket expenses paid by the Administrative Agent or the Arranger, including, without limitation, filing and recording costs and fees, costs of any environmental review, consultants’ fees and travel expenses, and fees, charges and disbursements of outside counsel to the Administrative Agent and the Arranger, and/or the allocated costs of in-house counsel incurred from time to time, in each case, in connection with (i) the due diligence, preparation, administration, negotiation, execution, delivery, syndication, distribution (including, without limitation, via DebtX and any other internet service selected by the Administrative Agent), review, amendment, modification, and administration of the Loan Documents, (ii) the enforcement or protection of the rights of the Administrative Agent, the LC Issuer or any Lender under the Loan Documents, (iii) any workout, restructuring, or amendment during the continuance of an Event of Default, and (iv) assessing and responding to any subpoena, garnishment or similar process served on the Administrative Agent relating to the Borrower, any Collateral, any Guarantor, any Loan Document or the extensions of credit evidenced thereby. Costs and expenses being reimbursed by the Borrower under this Section 9.6(a) shall include only the reasonable, necessary and actual fees, charges, costs and disbursements of one (and only one) outside counsel retained</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98830"/>
                <wp:effectExtent l="0" t="0" r="0" b="0"/>
                <wp:wrapNone/>
                <wp:docPr id="93" name="Frame91"/>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by and on behalf of the Administrative Agent from time to time for the benefit of the Lenders. Costs and expenses being reimbursed by the Borrower under this Section 9.6(a) further include, without limitation, the reasonable, necessary and actual cost and expense of obtaining an appraisal after the occurrence and during the continuance of an Event of Default of each parcel of real property or interest in real property described in the relevant Collateral Documents, which appraisal shall be in conformity with the applicable requirements of any law or any governmental rule, regulation, policy, guideline or directive (whether or not having the force of law), or any interpretation thereof, including, without limitation, the provisions of Title XI of the Financial Institutions Reform, Recovery and Enforcement Act of 1989 and costs and expenses incurred in connection with the Reports described in the following sentence. The Borrower acknowledges that from time to time, and at no cost or expense to Borrower whatsoever, U.S. Bank may prepare and may distribute to the Lenders (but shall have no obligation or duty to prepare or to distribute to the Lenders) certain audit reports (the “Reports”) pertaining to the Borrower’s assets for internal use by U.S. Bank from information furnished to it by or on behalf of the Borrower, after U.S. Bank has exercised its rights of inspection pursuant to this Agreement. Notwithstanding anything in this Section 9.6(a) to the contrary, the maximum fees and other expenses for which Borrower shall be obligated to pay to the Administrative Agent in connection with the drafting, negotiating and execution of the Loan Documents prior to the Closing Date shall not exceed $30,000.</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(e)The Borrower hereby further agrees to indemnify and hold harmless the Administrative Agent, the Arranger, the LC Issuer, each Lender, their respective affiliates, and each of their directors, officers and employees, agents and advisors (each, an “Indemnified Party”) against all losses, claims, damages, penalties, judgments, liabilities and expenses (including, without limitation, reasonable attorneys’ fees, charges and disbursements and settlement costs (including, without limitation, all expenses of litigation or preparation therefor) whether or not the Indemnified Party is a party thereto) which any such Indemnified Party may pay or incur arising out of or relating to this Agreement, the other Loan Documents, the transactions contemplated hereby, any actual or alleged presence or release of Hazardous Materials on or from any Property owned or operated by Borrower or any of its Subsidiaries, any environmental liability related in any way to Borrower or any of its Subsidiaries, or any actual or prospective claim, litigation, investigation or proceeding relating to any of the foregoing, whether based on contract, tort or any other theory, whether brought by a third party or by Borrower or any of its Subsidiaries, or the direct or indirect application or proposed application of the proceeds of any Credit Extension hereunder except to the extent that they are determined by a court of competent jurisdiction to have resulted from the gross negligence, bad faith or willful misconduct of the applicable Indemnified Party. The obligations of the Borrower under this Section 9.6 shall survive the termination of this Agreement.</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Numbers of Documents</w:t>
      </w:r>
      <w:r>
        <w:rPr>
          <w:rFonts w:ascii="Times New Roman;serif" w:hAnsi="Times New Roman;serif"/>
          <w:b w:val="false"/>
          <w:color w:val="000000"/>
          <w:sz w:val="22"/>
        </w:rPr>
        <w:t>. All statements, notices, closing documents, and requests hereunder shall be furnished to the Administrative Agent with sufficient counterparts so that the Administrative Agent may furnish one to each of the Lenders.</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Accounting</w:t>
      </w:r>
      <w:r>
        <w:rPr>
          <w:rFonts w:ascii="Times New Roman;serif" w:hAnsi="Times New Roman;serif"/>
          <w:b w:val="false"/>
          <w:color w:val="000000"/>
          <w:sz w:val="22"/>
        </w:rPr>
        <w:t xml:space="preserve">. Except as provided to the contrary herein, all accounting terms used herein shall be interpreted and all accounting determinations hereunder shall be made in accordance with GAAP in a manner consistent with that used in preparing the financial statements referred to in Section 5.5, except that any calculation or determination which is to be made on a consolidated basis shall be made for the Borrower and all of its Subsidiaries, including those Subsidiaries, if any, which are unconsolidated on the Borrower’s audited financial statements; provided, however that, notwithstanding any other provision contained herein, all terms of an accounting or financial nature used herein shall be construed, and all computations of amounts and ratios referred to herein shall be made without giving effect to (i) any election under Accounting Standards Codification Section 825-10-25 (or any other Accounting Standards Codification or Financial Accounting Standard having a similar result or effect) to value any Indebtedness or other liabilities of the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98830"/>
                <wp:effectExtent l="0" t="0" r="0" b="0"/>
                <wp:wrapNone/>
                <wp:docPr id="94" name="Frame92"/>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Borrower or any of its Subsidiaries at “fair value”, as defined therein, or (ii) any treatment of Indebtedness in respect of convertible debt instruments under Financial Accounting Standards</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98830"/>
                <wp:effectExtent l="0" t="0" r="0" b="0"/>
                <wp:wrapNone/>
                <wp:docPr id="95" name="Frame93"/>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Codification Subtopic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If at any time any change in GAAP would affect the computation of any financial ratio or requirement set forth in any Loan Document, and the Borrower, the Administrative Agent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provided that, until so amended, such ratio or requirement shall continue to be computed in accordance with GAAP prior to such change therein and the Borrower shall provide to the Administrative Agent and the Lenders reconciliation statements showing the difference in such calculation, together with the delivery of monthly, quarterly and annual financial statements required hereunder. In addition, notwithstanding any other provision contained herein, the definitions set forth in this Agreement and any financial calculations required by the Loan Documents shall be computed to exclude any change to lease accounting rules from those in effect pursuant to Financial Accounting Standards Board Accounting Standards Codification 840 (Leases) and other related lease accounting guidance as in effect on the date hereof.</w:t>
      </w:r>
    </w:p>
    <w:p>
      <w:pPr>
        <w:pStyle w:val="TextBody"/>
        <w:bidi w:val="0"/>
        <w:spacing w:lineRule="auto" w:line="288" w:before="241" w:after="283"/>
        <w:ind w:left="0" w:right="0" w:firstLine="719"/>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Severability of Provisions</w:t>
      </w:r>
      <w:r>
        <w:rPr>
          <w:rFonts w:ascii="Times New Roman;serif" w:hAnsi="Times New Roman;serif"/>
          <w:b w:val="false"/>
          <w:color w:val="000000"/>
          <w:sz w:val="22"/>
        </w:rPr>
        <w:t>. Any provision in any Loan Document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all Loan Documents are declared to be severable.</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Nonliability of Lenders</w:t>
      </w:r>
      <w:r>
        <w:rPr>
          <w:rFonts w:ascii="Times New Roman;serif" w:hAnsi="Times New Roman;serif"/>
          <w:b w:val="false"/>
          <w:color w:val="000000"/>
          <w:sz w:val="22"/>
        </w:rPr>
        <w:t>. The relationship between the Borrower on the one hand and the Lenders, the LC Issuer and the Administrative Agent on the other hand shall be solely that of borrower and lender. Neither the Administrative Agent, the Arranger, the LC Issuer nor any Lender shall have any fiduciary responsibilities to the Borrower. Neither the Administrative Agent, the Arranger, the LC Issuer nor any Lender undertakes any responsibility to the Borrower to review or inform the Borrower of any matter in connection with any phase of the Borrower’s business or operations. The Borrower agrees that neither the Administrative Agent, the Arranger, the LC Issuer nor any Lender shall have liability to the Borrower (whether sounding in tort, contract or otherwise) for losses suffered by the Borrower in connection with, arising out of, or in any way related to, the transactions contemplated and the relationship established by the Loan Documents, or any act, omission or event occurring in connection therewith, unless it is determined in a final non-appealable judgment by a court of competent jurisdiction that such losses resulted from the gross negligence, bad faith or willful misconduct of the party from which recovery is sought. Neither the Administrative Agent, the Arranger, the LC Issuer nor any Lender shall have any liability with respect to, and the Borrower hereby waives, releases and agrees not to sue for, any lost profits or special, indirect, consequential or punitive damages suffered by the Borrower in connection with, arising out of, or in any way related to the Loan Documents or the transactions contemplated thereby. It is agreed that the Arranger shall, in its capacity as such, have no duties or responsibilities under the Agreement or any other Loan Document. Each Lender acknowledges that it has not relied and will not rely on the Arranger in deciding to enter into the Agreement or any other Loan Document or in taking or not taking any action.</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Confidentiality</w:t>
      </w:r>
      <w:r>
        <w:rPr>
          <w:rFonts w:ascii="Times New Roman;serif" w:hAnsi="Times New Roman;serif"/>
          <w:b w:val="false"/>
          <w:color w:val="000000"/>
          <w:sz w:val="22"/>
        </w:rPr>
        <w:t xml:space="preserve">. The Administrative Agent and each Lender agree to hold any confidential information which it may receive from the Borrower in connection with this Agreement in confidence, except for disclosure (i) to its Affiliates and to the Administrative Agent and any other Lender and their respective Affiliates, and, in each case, their respective employees, directors, and officers, (ii) to legal counsel, accountants, and other professional advisors to the Administrative Agent or such Lender provided such parties have been notified of the confidential nature of such information, (iii) as provided in Section 12.3(e), (iv) any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98830"/>
                <wp:effectExtent l="0" t="0" r="0" b="0"/>
                <wp:wrapNone/>
                <wp:docPr id="96" name="Frame94"/>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assignee of or Participant in, or any prospective assignee of or Participant in, any of its rights and obligations under this Agreement, (v) any actual or prospective party (or its respective</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98830"/>
                <wp:effectExtent l="0" t="0" r="0" b="0"/>
                <wp:wrapNone/>
                <wp:docPr id="97" name="Frame95"/>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Affiliates) to any swap, derivative or other transaction under which payments are to be made by reference to the Borrower and its obligations, this Agreement or payments hereunder, (vi) to regulatory officials,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(vii) to any Person as requested pursuant to or as required by law, regulation, or legal process, (viii) to any Person in connection with any legal proceeding to which it is a party, (ix) to its direct or indirect contractual counterparties in swap agreements or to legal counsel, accountants and other professional advisors to such counterparties provided such parties have been notified of the confidential nature of such information, (x) to rating agencies if requested or required by such agencies in connection with a rating relating to the Borrowings hereunder, (xi) in connection with the exercise of any remedies hereunder or any suit, action or proceeding relating to this Agreement or any other Loan Document or the enforcement of rights hereunder or thereunder, (xii) to the extent such information (1) becomes publicly available other than as a result of a breach of this Section 9.11 or (2) becomes available to the Administrative Agent, the LC Issuer, the Swing Line Lender or any other Lender on a non-confidential basis from a source other than the Borrower, and (xiii) to Thomson Reuters LPC or any similar loan pricing organization. Without limiting Section 9.4, the Borrower agrees that the terms of this Section 9.11 shall set forth the entire agreement between the Borrower and the Administrative Agent and each Lender with respect to any confidential information previously or hereafter received by the Administrative Agent or such Lender in connection with this Agreement, and this Section 9.11 shall supersede any and all prior confidentiality agreements entered into by the Administrative Agent or any Lender with respect to such confidential information.</w:t>
      </w:r>
    </w:p>
    <w:p>
      <w:pPr>
        <w:pStyle w:val="TextBody"/>
        <w:bidi w:val="0"/>
        <w:spacing w:lineRule="auto" w:line="283" w:before="239" w:after="283"/>
        <w:ind w:left="0" w:right="0" w:firstLine="719"/>
        <w:jc w:val="both"/>
        <w:rPr/>
      </w:pPr>
      <w:r>
        <w:rPr>
          <w:rFonts w:ascii="Times New Roman;serif" w:hAnsi="Times New Roman;serif"/>
          <w:b w:val="false"/>
          <w:color w:val="000000"/>
          <w:sz w:val="22"/>
        </w:rPr>
        <w:t>1.10.</w:t>
      </w:r>
      <w:r>
        <w:rPr>
          <w:rFonts w:ascii="Times New Roman;serif" w:hAnsi="Times New Roman;serif"/>
          <w:b w:val="false"/>
          <w:color w:val="000000"/>
          <w:sz w:val="22"/>
          <w:u w:val="single"/>
        </w:rPr>
        <w:t>Non-reliance</w:t>
      </w:r>
      <w:r>
        <w:rPr>
          <w:rFonts w:ascii="Times New Roman;serif" w:hAnsi="Times New Roman;serif"/>
          <w:b w:val="false"/>
          <w:color w:val="000000"/>
          <w:sz w:val="22"/>
        </w:rPr>
        <w:t>. Each Lender hereby represents that it is not relying on or looking to any margin stock (as defined in Regulation U) for the repayment of the Credit Extensions provided for herein.</w:t>
      </w:r>
    </w:p>
    <w:p>
      <w:pPr>
        <w:pStyle w:val="TextBody"/>
        <w:bidi w:val="0"/>
        <w:spacing w:lineRule="auto" w:line="288" w:before="231" w:after="283"/>
        <w:ind w:left="0" w:right="0" w:firstLine="719"/>
        <w:jc w:val="both"/>
        <w:rPr/>
      </w:pPr>
      <w:r>
        <w:rPr>
          <w:rFonts w:ascii="Times New Roman;serif" w:hAnsi="Times New Roman;serif"/>
          <w:b w:val="false"/>
          <w:color w:val="000000"/>
          <w:sz w:val="22"/>
        </w:rPr>
        <w:t>1.11.</w:t>
      </w:r>
      <w:r>
        <w:rPr>
          <w:rFonts w:ascii="Times New Roman;serif" w:hAnsi="Times New Roman;serif"/>
          <w:b w:val="false"/>
          <w:color w:val="000000"/>
          <w:sz w:val="22"/>
          <w:u w:val="single"/>
        </w:rPr>
        <w:t>Disclosure</w:t>
      </w:r>
      <w:r>
        <w:rPr>
          <w:rFonts w:ascii="Times New Roman;serif" w:hAnsi="Times New Roman;serif"/>
          <w:b w:val="false"/>
          <w:color w:val="000000"/>
          <w:sz w:val="22"/>
        </w:rPr>
        <w:t>. The Borrower and each Lender hereby acknowledge and agree that U.S. Bank and/or its Affiliates from time to time may hold investments in, make other loans to or have other relationships with the Borrower and its Affiliates.</w:t>
      </w:r>
    </w:p>
    <w:p>
      <w:pPr>
        <w:pStyle w:val="TextBody"/>
        <w:bidi w:val="0"/>
        <w:spacing w:lineRule="auto" w:line="283" w:before="239" w:after="283"/>
        <w:ind w:left="0" w:right="0" w:firstLine="719"/>
        <w:jc w:val="both"/>
        <w:rPr/>
      </w:pPr>
      <w:r>
        <w:rPr>
          <w:rFonts w:ascii="Times New Roman;serif" w:hAnsi="Times New Roman;serif"/>
          <w:b w:val="false"/>
          <w:color w:val="000000"/>
          <w:sz w:val="22"/>
        </w:rPr>
        <w:t>1.12.</w:t>
      </w:r>
      <w:r>
        <w:rPr>
          <w:rFonts w:ascii="Times New Roman;serif" w:hAnsi="Times New Roman;serif"/>
          <w:b w:val="false"/>
          <w:color w:val="000000"/>
          <w:sz w:val="22"/>
          <w:u w:val="single"/>
        </w:rPr>
        <w:t>USA PATRIOT ACT NOTIFICATION</w:t>
      </w:r>
      <w:r>
        <w:rPr>
          <w:rFonts w:ascii="Times New Roman;serif" w:hAnsi="Times New Roman;serif"/>
          <w:b w:val="false"/>
          <w:color w:val="000000"/>
          <w:sz w:val="22"/>
        </w:rPr>
        <w:t>. The following notification is provided to Borrower pursuant to Section 326 of the PATRIOT Act:</w:t>
      </w:r>
    </w:p>
    <w:p>
      <w:pPr>
        <w:pStyle w:val="TextBody"/>
        <w:bidi w:val="0"/>
        <w:spacing w:lineRule="auto" w:line="288" w:before="231" w:after="283"/>
        <w:jc w:val="both"/>
        <w:rPr>
          <w:rFonts w:ascii="Times New Roman;serif" w:hAnsi="Times New Roman;serif"/>
          <w:b w:val="false"/>
          <w:color w:val="000000"/>
          <w:sz w:val="22"/>
        </w:rPr>
      </w:pPr>
      <w:r>
        <w:rPr>
          <w:rFonts w:ascii="Times New Roman;serif" w:hAnsi="Times New Roman;serif"/>
          <w:b w:val="false"/>
          <w:color w:val="000000"/>
          <w:sz w:val="22"/>
        </w:rPr>
        <w:t>Each Lender that is subject to the requirements of the PATRIOT Act hereby notifies the Borrower and each other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1.13.</w:t>
      </w:r>
      <w:r>
        <w:rPr>
          <w:rFonts w:ascii="Times New Roman;serif" w:hAnsi="Times New Roman;serif"/>
          <w:b w:val="false"/>
          <w:color w:val="000000"/>
          <w:sz w:val="22"/>
          <w:u w:val="single"/>
        </w:rPr>
        <w:t>Acknowledgement and Consent to Bail-In of EEA Financial Institutions</w:t>
      </w:r>
      <w:r>
        <w:rPr>
          <w:rFonts w:ascii="Times New Roman;serif" w:hAnsi="Times New Roman;serif"/>
          <w:b w:val="false"/>
          <w:color w:val="000000"/>
          <w:sz w:val="22"/>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pStyle w:val="TextBody"/>
        <w:bidi w:val="0"/>
        <w:spacing w:lineRule="auto" w:line="288" w:before="242"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(a)the application of any Write-Down and Conversion Powers by an EEA Resolution Authority to any such liabilities arising hereunder which may be payable to it by any party hereto that is an EEA Financial Institution; and</w:t>
      </w:r>
    </w:p>
    <w:p>
      <w:pPr>
        <w:pStyle w:val="TextBody"/>
        <w:bidi w:val="0"/>
        <w:spacing w:lineRule="auto" w:line="288" w:before="242"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(b)the effects of any Bail-In Action on any such liability, including, if applicable:</w:t>
      </w:r>
    </w:p>
    <w:p>
      <w:pPr>
        <w:pStyle w:val="TextBody"/>
        <w:bidi w:val="0"/>
        <w:spacing w:lineRule="auto" w:line="288" w:before="0" w:after="0"/>
        <w:ind w:left="0" w:right="0" w:firstLine="719"/>
        <w:jc w:val="left"/>
        <w:rPr>
          <w:rFonts w:ascii="Times New Roman;serif" w:hAnsi="Times New Roman;serif"/>
          <w:b w:val="false"/>
          <w:color w:val="000000"/>
          <w:sz w:val="22"/>
        </w:rPr>
      </w:pPr>
      <w:r>
        <w:rPr>
          <w:rFonts w:ascii="Times New Roman;serif" w:hAnsi="Times New Roman;serif"/>
          <w:b w:val="false"/>
          <w:color w:val="000000"/>
          <w:sz w:val="22"/>
        </w:rPr>
        <w:t>a reduction in full or in part or cancellation of any such liability;</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98830"/>
                <wp:effectExtent l="0" t="0" r="0" b="0"/>
                <wp:wrapNone/>
                <wp:docPr id="98" name="Frame96"/>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left"/>
        <w:rPr/>
      </w:pPr>
      <w:r>
        <w:rPr/>
      </w:r>
    </w:p>
    <w:p>
      <w:pPr>
        <w:pStyle w:val="TextBody"/>
        <w:bidi w:val="0"/>
        <w:spacing w:lineRule="auto" w:line="288" w:before="79"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(ii)the variation of the terms of such liability in connection with the exercise of the write-down and conversion powers of any EEA Resolution Authority.</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ARTICLE X</w:t>
      </w:r>
    </w:p>
    <w:p>
      <w:pPr>
        <w:pStyle w:val="TextBody"/>
        <w:bidi w:val="0"/>
        <w:spacing w:before="3" w:after="283"/>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THE ADMINISTRATIVE AGENT</w:t>
      </w:r>
    </w:p>
    <w:p>
      <w:pPr>
        <w:pStyle w:val="TextBody"/>
        <w:bidi w:val="0"/>
        <w:spacing w:lineRule="auto" w:line="288" w:before="237" w:after="283"/>
        <w:ind w:left="0" w:right="0" w:firstLine="719"/>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Appointment; Nature of Relationship</w:t>
      </w:r>
      <w:r>
        <w:rPr>
          <w:rFonts w:ascii="Times New Roman;serif" w:hAnsi="Times New Roman;serif"/>
          <w:b w:val="false"/>
          <w:color w:val="000000"/>
          <w:sz w:val="22"/>
        </w:rPr>
        <w:t>. U.S. Bank National Association is hereby appointed by each of the Lenders as its contractual representative (herein referred to as the “Administrative Agent”) hereunder and under each other Loan Document, and each of the Lenders irrevocably authorizes the Administrative Agent to act as the contractual representative of such Lender with the rights and duties expressly set forth herein and in the other Loan Documents. The Administrative Agent agrees to act as such contractual representative upon the express conditions contained in this Article X. Notwithstanding the use of the defined term “Administrative Agent,” it is expressly understood and agreed that the Administrative Agent shall not have any fiduciary responsibilities to any Lender by reason of this Agreement or any other Loan Document and that the Administrative Agent is merely acting as the contractual representative of the Lenders with only those duties as are expressly set forth in this Agreement and the other Loan Documents. In its capacity as the Lenders’ contractual representative, the Administrative Agent (i) does not hereby assume any fiduciary duties to any of the Lenders, and (ii) is a “representative” of the Lenders within the meaning of the term “secured party” as defined in the Arizona Uniform Commercial Code and (iii) is acting as an independent contractor, the rights and duties of which are limited to those expressly set forth in this Agreement and the other Loan Documents. Each of the Lenders hereby agrees to assert no claim against the Administrative Agent on any agency theory or any other theory of liability for breach of fiduciary duty, all of which claims each Lender hereby waives.</w:t>
      </w:r>
    </w:p>
    <w:p>
      <w:pPr>
        <w:pStyle w:val="TextBody"/>
        <w:bidi w:val="0"/>
        <w:spacing w:lineRule="auto" w:line="288" w:before="241" w:after="283"/>
        <w:ind w:left="0" w:right="0" w:firstLine="719"/>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Powers</w:t>
      </w:r>
      <w:r>
        <w:rPr>
          <w:rFonts w:ascii="Times New Roman;serif" w:hAnsi="Times New Roman;serif"/>
          <w:b w:val="false"/>
          <w:color w:val="000000"/>
          <w:sz w:val="22"/>
        </w:rPr>
        <w:t>. The Administrative Agent shall have and may exercise such powers under the Loan Documents as are specifically delegated to the Administrative Agent by the terms of each thereof, together with such powers as are reasonably incidental thereto. The Administrative Agent shall have no implied duties to the Lenders, or any obligation to the Lenders to take any action thereunder except any action specifically provided by the Loan Documents to be taken by the Administrative Agent.</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General Immunity</w:t>
      </w:r>
      <w:r>
        <w:rPr>
          <w:rFonts w:ascii="Times New Roman;serif" w:hAnsi="Times New Roman;serif"/>
          <w:b w:val="false"/>
          <w:color w:val="000000"/>
          <w:sz w:val="22"/>
        </w:rPr>
        <w:t>. Neither the Administrative Agent nor any of its directors, officers, agents or employees shall be liable to the Borrower, the Lenders or any Lender for any action taken or omitted to be taken by it or them hereunder or under any other Loan Document or in connection herewith or therewith except to the extent such action or inaction is determined in a final non-appealable judgment by a court of competent jurisdiction to have arisen from the gross negligence, bad faith or willful misconduct of such Person.</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No Responsibility for Loans, Recitals, etc.</w:t>
      </w:r>
      <w:r>
        <w:rPr>
          <w:rFonts w:ascii="Times New Roman;serif" w:hAnsi="Times New Roman;serif"/>
          <w:b w:val="false"/>
          <w:color w:val="000000"/>
          <w:sz w:val="22"/>
        </w:rPr>
        <w:t xml:space="preserve">. Neither the Administrative Agent nor any of its directors, officers, agents or employees shall be responsible for or have any duty to ascertain, inquire into, or verify (a) any statement, warranty or representation made in connection with any Loan Document or any borrowing hereunder; (b) the performance or observance of any of the covenants or agreements of any obligor under any Loan Document, including, without limitation, any agreement by an obligor to furnish information directly to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98830"/>
                <wp:effectExtent l="0" t="0" r="0" b="0"/>
                <wp:wrapNone/>
                <wp:docPr id="99" name="Frame97"/>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each Lender; (c) the satisfaction of any condition specified in Article IV, except receipt of items required to be delivered solely to the Administrative Agent; (d) the existence or</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98830"/>
                <wp:effectExtent l="0" t="0" r="0" b="0"/>
                <wp:wrapNone/>
                <wp:docPr id="100" name="Frame98"/>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89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possible existence of any Default or Event of Default; (e) the validity, enforceability, effectiveness, sufficiency or genuineness of any Loan Document or any other instrument or writing furnished in connection therewith; (f) the value, sufficiency, creation, perfection or priority of any Lien in any collateral security; or (g) the financial condition of the Borrower or any Guarantor of any of the Obligations or of any of the Borrower’s or any such Guarantor’s respective Subsidiaries.</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Action on Instructions of Lenders</w:t>
      </w:r>
      <w:r>
        <w:rPr>
          <w:rFonts w:ascii="Times New Roman;serif" w:hAnsi="Times New Roman;serif"/>
          <w:b w:val="false"/>
          <w:color w:val="000000"/>
          <w:sz w:val="22"/>
        </w:rPr>
        <w:t>. The Administrative Agent shall in all cases be fully protected in acting, or in refraining from acting, hereunder and under any other Loan Document in accordance with written instructions signed by the Required Lenders, and such instructions and any action taken or failure to act pursuant thereto shall be binding on all of the Lenders. The Lenders hereby acknowledge that the Administrative Agent shall be under no duty to take any discretionary action permitted to be taken by it pursuant to the provisions of this Agreement or any other Loan Document unless it shall be requested in writing to do so by the Required Lenders. The Administrative Agent shall be fully justified in failing or refusing to take any action hereunder and under any other Loan Document unless it shall first be indemnified to its satisfaction by the Lenders pro rata against any and all liability, cost and expense that it may incur by reason of taking or continuing to take any such action. The Administrative Agent may, at any time, request instructions from the Required Lenders with respect to any actions or approvals which, by the terms of this Agreement or any of the Loan Documents, the Administrative Agent is permitted or required to take or to grant without consent or approval from the Required Lenders, and if such instructions are promptly requested, the Administrative Agent will be absolutely entitled to refrain from taking any action or to withhold any approval under any of the Loan Documents and will not have any liability for refraining from taking any action or withholding any approval under any of the Loan Documents until it has received such instructions from the Required Lenders.</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Employment of Administrative Agents and Counsel</w:t>
      </w:r>
      <w:r>
        <w:rPr>
          <w:rFonts w:ascii="Times New Roman;serif" w:hAnsi="Times New Roman;serif"/>
          <w:b w:val="false"/>
          <w:color w:val="000000"/>
          <w:sz w:val="22"/>
        </w:rPr>
        <w:t>. The Administrative Agent may execute any of its duties as Administrative Agent hereunder and under any other Loan Document by or through employees, agents, and attorneys-in-fact. The Administrative Agent will not be responsible for the negligence or misconduct of any agents or attorneys-in-fact except to the extent that a court of competent jurisdiction determines in a final and nonappealable judgment that the Administrative Agent acted with gross negligence, bad faith or willful misconduct in the selection of agents or attorneys-in-fact.</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Reliance on Documents; Counsel</w:t>
      </w:r>
      <w:r>
        <w:rPr>
          <w:rFonts w:ascii="Times New Roman;serif" w:hAnsi="Times New Roman;serif"/>
          <w:b w:val="false"/>
          <w:color w:val="000000"/>
          <w:sz w:val="22"/>
        </w:rPr>
        <w:t>. The Administrative Agent shall be entitled to rely upon any Note, notice, consent, certificate, affidavit, letter, telegram, facsimile, telex, electronic mail message, statement, paper or document believed by it to be genuine and correct and to have been signed or sent by the proper Person or Persons, and, in respect to legal matters, upon the opinion of counsel selected by the Administrative Agent, which counsel may be employees of the Administrative Agent. For purposes of determining compliance with the conditions specified in Sections 4.1 and 4.2,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applicable date specifying its objection thereto.</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Administrative Agent’s Reimbursement and Indemnification</w:t>
      </w:r>
      <w:r>
        <w:rPr>
          <w:rFonts w:ascii="Times New Roman;serif" w:hAnsi="Times New Roman;serif"/>
          <w:b w:val="false"/>
          <w:color w:val="000000"/>
          <w:sz w:val="22"/>
        </w:rPr>
        <w:t xml:space="preserve">. The Lenders agree to reimburse and indemnify the Administrative Agent ratably in proportion to their respective Pro Rata Shares (determined without excluding the Defaulting Lenders) (i) for any amounts not reimbursed by the Borrower for which the Administrative Agent is entitled to reimbursement by the Borrower under the Loan Documents, (ii) for any other expenses incurred by the Administrative Agent on behalf of the Lenders, in connection with the preparation, execution, delivery, administration and enforcement of the Loan Documents (including, without limitation, for any expenses incurred by the Administrative Agent in connection with any dispute between the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98830"/>
                <wp:effectExtent l="0" t="0" r="0" b="0"/>
                <wp:wrapNone/>
                <wp:docPr id="101" name="Frame99"/>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Administrative Agent and any Lender or between two or more of the Lenders) and (iii) for any liabilities, obligations, losses, damages, penalties, actions, judgments, suits,</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98830"/>
                <wp:effectExtent l="0" t="0" r="0" b="0"/>
                <wp:wrapNone/>
                <wp:docPr id="102" name="Frame100"/>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costs, expenses or disbursements of any kind and nature whatsoever which may be imposed on, incurred by or asserted against the Administrative Agent in any way relating to or arising out of the Loan Documents or any other document delivered in connection therewith or the transactions contemplated thereby (including, without limitation, for any such amounts incurred by or asserted against the Administrative Agent in connection with any dispute between the Administrative Agent and any Lender or between two or more of the Lenders), or the enforcement of any of the terms of the Loan Documents or of any such other documents, provided that (i) no Lender shall be liable for any of the foregoing to the extent any of the foregoing is found in a final non-appealable judgment by a court of competent jurisdiction to have resulted from the gross negligence or willful misconduct of the Administrative Agent and (ii) any indemnification required pursuant to Section 3.5(d) shall, notwithstanding the provisions of this Section 10.8, be paid by the relevant Lender in accordance with the provisions thereof. The obligations of the Lenders under this Section 10.8 shall survive payment of the Obligations and termination of this Agreement.</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Notice of Event of Default</w:t>
      </w:r>
      <w:r>
        <w:rPr>
          <w:rFonts w:ascii="Times New Roman;serif" w:hAnsi="Times New Roman;serif"/>
          <w:b w:val="false"/>
          <w:color w:val="000000"/>
          <w:sz w:val="22"/>
        </w:rPr>
        <w:t>. The Administrative Agent shall not be deemed to have knowledge or notice of the occurrence of any Default or Event of Default hereunder unless the Administrative Agent has received written notice from a Lender or the Borrower referring to this Agreement describing such Default or Event of Default and stating that such notice is a “notice of default”. In the event that the Administrative Agent receives such a notice, the Administrative Agent shall give prompt notice thereof to the Lenders; provided that, except as expressly set forth in the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w:t>
      </w:r>
    </w:p>
    <w:p>
      <w:pPr>
        <w:pStyle w:val="TextBody"/>
        <w:bidi w:val="0"/>
        <w:spacing w:lineRule="auto" w:line="288" w:before="241" w:after="283"/>
        <w:ind w:left="0" w:right="0" w:firstLine="719"/>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Rights as a Lender</w:t>
      </w:r>
      <w:r>
        <w:rPr>
          <w:rFonts w:ascii="Times New Roman;serif" w:hAnsi="Times New Roman;serif"/>
          <w:b w:val="false"/>
          <w:color w:val="000000"/>
          <w:sz w:val="22"/>
        </w:rPr>
        <w:t>. In the event the Administrative Agent is a Lender, the Administrative Agent shall have the same rights and powers hereunder and under any other Loan Document with respect to its Revolving Commitment and its Loans as any Lender and may exercise the same as though it were not the Administrative Agent, and the term “Lender” or “Lenders” shall, at any time when the Administrative Agent is a Lender, unless the context otherwise indicates, include the Administrative Agent in its individual capacity. The Administrative Agent and its Affiliates may accept deposits from, lend money to, and generally engage in any kind of trust, debt, equity or other transaction, in addition to those contemplated by this Agreement or any other Loan Document, with the Borrower or any of its Subsidiaries in which the Borrower or such Subsidiary is not restricted hereby from engaging with any other Person.</w:t>
      </w:r>
    </w:p>
    <w:p>
      <w:pPr>
        <w:pStyle w:val="TextBody"/>
        <w:bidi w:val="0"/>
        <w:spacing w:lineRule="auto" w:line="288" w:before="242" w:after="283"/>
        <w:ind w:left="0" w:right="0" w:hanging="720"/>
        <w:jc w:val="left"/>
        <w:rPr/>
      </w:pPr>
      <w:r>
        <w:rPr>
          <w:rFonts w:ascii="Times New Roman;serif" w:hAnsi="Times New Roman;serif"/>
          <w:b w:val="false"/>
          <w:color w:val="000000"/>
          <w:sz w:val="22"/>
        </w:rPr>
        <w:t>1.9.</w:t>
      </w:r>
      <w:r>
        <w:rPr>
          <w:rFonts w:ascii="Times New Roman;serif" w:hAnsi="Times New Roman;serif"/>
          <w:b w:val="false"/>
          <w:color w:val="000000"/>
          <w:sz w:val="22"/>
          <w:u w:val="single"/>
        </w:rPr>
        <w:t>Lender Credit Decision, Legal Representation</w:t>
      </w:r>
      <w:r>
        <w:rPr>
          <w:rFonts w:ascii="Times New Roman;serif" w:hAnsi="Times New Roman;serif"/>
          <w:b w:val="false"/>
          <w:color w:val="000000"/>
          <w:sz w:val="22"/>
        </w:rPr>
        <w:t>.</w:t>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Each Lender acknowledges that it has, independently and without reliance upon the Administrative Agent, the Arranger or any other Lender and based on the financial statements prepared by the Borrower and such other documents and information as it has deemed appropriate, made its own credit analysis and decision to enter into this Agreement and the other Loan Documents. Each Lender also acknowledges that it will, independently and without reliance upon the Administrative Agent, the Arranger or any other Lender and based on such documents and information as it shall deem appropriate at the time, continue to make its own credit decisions in taking or not taking action under this Agreement and the other Loan Documents. Except for any notice, report, document or other information expressly required to be furnished to the Lenders by the Administrative Agent or Arranger hereunder, neither the Administrative Agent nor the Arranger shall have any duty or responsibility (either initially or on a continuing basis) to provide any Lender with any notice, report, document, credit information or other information concerning the affairs, financial condition or business of the Borrower or any of its Affiliates that may come into the possession of the Administrative Agent or Arranger (whether or not in their respective capacity as Administrative Agent or Arranger) or any of their Affiliates.</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98830"/>
                <wp:effectExtent l="0" t="0" r="0" b="0"/>
                <wp:wrapNone/>
                <wp:docPr id="103" name="Frame101"/>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(f)Each Lender further acknowledges that it has had the opportunity to be represented by legal counsel in connection with its execution of this Agreement and the other Loan Documents, that it has made its own evaluation of all applicable laws and regulations relating to the transactions contemplated hereby, and that the counsel to the Administrative Agent represents only the Administrative Agent and not the Lenders in connection with this Agreement and the transactions contemplated hereby.</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1.10.</w:t>
      </w:r>
      <w:r>
        <w:rPr>
          <w:rFonts w:ascii="Times New Roman;serif" w:hAnsi="Times New Roman;serif"/>
          <w:b w:val="false"/>
          <w:color w:val="000000"/>
          <w:sz w:val="22"/>
          <w:u w:val="single"/>
        </w:rPr>
        <w:t>Successor Administrative Agent</w:t>
      </w:r>
      <w:r>
        <w:rPr>
          <w:rFonts w:ascii="Times New Roman;serif" w:hAnsi="Times New Roman;serif"/>
          <w:b w:val="false"/>
          <w:color w:val="000000"/>
          <w:sz w:val="22"/>
        </w:rPr>
        <w:t>. The Administrative Agent may resign at any time by giving written notice thereof to the Lenders and the Borrower, such resignation to be effective upon the appointment of a successor Administrative Agent or, if no successor Administrative Agent has been appointed, thirty (30) days after the retiring Administrative Agent gives notice of its intention to resign. Upon any such resignation, the Required Lenders shall have the right to appoint (upon consultation with the Borrower as long as no Event of Default exists), on behalf of the Borrower and the Lenders, a successor Administrative Agent. If no successor Administrative Agent shall have been so appointed by the Required Lenders within fifteen (15) days after the resigning Administrative Agent’s giving notice of its intention to resign, then the resigning Administrative Agent may appoint, on behalf of the Borrower and the Lenders, a successor Administrative Agent. Notwithstanding the previous sentence, the Administrative Agent may at any time without the consent of the Borrower or any Lender, appoint any of its Affiliates which is a commercial bank as a successor Administrative Agent hereunder. If the Administrative Agent has resigned and no successor Administrative Agent has been appointed, the Lenders may perform all the duties of the Administrative Agent hereunder and the Borrower shall make all payments in respect of the Obligations to the applicable Lender and for all other purposes shall deal directly with the Lenders. No successor Administrative Agent shall be deemed to be appointed hereunder until such successor Administrative Agent has accepted the appointment. Upon the acceptance of any appointment as Administrative Agent hereunder by a successor Administrative Agent, such successor Administrative Agent shall thereupon succeed to and become vested with all the rights, powers, privileges and duties of the resigning Administrative Agent. Upon the effectiveness of the resignation of the Administrative Agent, the resigning Administrative Agent shall be discharged from its duties and obligations hereunder and under the Loan Documents. After the effectiveness of the resignation of an Administrative Agent, the provisions of this Article X shall continue in effect for the benefit of such Administrative Agent in respect of any actions taken or omitted to be taken by it while it was acting as the Administrative Agent hereunder and under the other Loan Documents. In the event that there is a successor to the Administrative Agent by merger, or the Administrative Agent assigns its duties and obligations to an Affiliate pursuant to this Section 10.12, then the term “Prime Rate” as used in this Agreement shall mean the prime rate, base rate or other analogous rate of the new Administrative Agent.</w:t>
      </w:r>
    </w:p>
    <w:p>
      <w:pPr>
        <w:pStyle w:val="TextBody"/>
        <w:bidi w:val="0"/>
        <w:spacing w:lineRule="auto" w:line="288" w:before="242"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1.11.[Reserved]</w:t>
      </w:r>
    </w:p>
    <w:p>
      <w:pPr>
        <w:pStyle w:val="TextBody"/>
        <w:bidi w:val="0"/>
        <w:spacing w:lineRule="auto" w:line="288" w:before="239" w:after="283"/>
        <w:ind w:left="0" w:right="0" w:firstLine="719"/>
        <w:jc w:val="both"/>
        <w:rPr/>
      </w:pPr>
      <w:r>
        <w:rPr>
          <w:rFonts w:ascii="Times New Roman;serif" w:hAnsi="Times New Roman;serif"/>
          <w:b w:val="false"/>
          <w:color w:val="000000"/>
          <w:sz w:val="22"/>
        </w:rPr>
        <w:t>1.12.</w:t>
      </w:r>
      <w:r>
        <w:rPr>
          <w:rFonts w:ascii="Times New Roman;serif" w:hAnsi="Times New Roman;serif"/>
          <w:b w:val="false"/>
          <w:color w:val="000000"/>
          <w:sz w:val="22"/>
          <w:u w:val="single"/>
        </w:rPr>
        <w:t>Delegation to Affiliates</w:t>
      </w:r>
      <w:r>
        <w:rPr>
          <w:rFonts w:ascii="Times New Roman;serif" w:hAnsi="Times New Roman;serif"/>
          <w:b w:val="false"/>
          <w:color w:val="000000"/>
          <w:sz w:val="22"/>
        </w:rPr>
        <w:t>. The Borrower and the Lenders agree that the Administrative Agent may delegate any of its duties under this Agreement to any of its Affiliates. Any such Affiliate (and such Affiliate’s directors, officers, agents and employees) which performs duties in connection with this Agreement shall be entitled to the same benefits of the indemnification, waiver and other protective provisions to which the Administrative Agent is entitled under Articles IX and X.</w:t>
      </w:r>
    </w:p>
    <w:p>
      <w:pPr>
        <w:pStyle w:val="TextBody"/>
        <w:bidi w:val="0"/>
        <w:spacing w:lineRule="auto" w:line="288" w:before="241" w:after="283"/>
        <w:ind w:left="0" w:right="0" w:firstLine="719"/>
        <w:jc w:val="both"/>
        <w:rPr/>
      </w:pPr>
      <w:r>
        <w:rPr>
          <w:rFonts w:ascii="Times New Roman;serif" w:hAnsi="Times New Roman;serif"/>
          <w:b w:val="false"/>
          <w:color w:val="000000"/>
          <w:sz w:val="22"/>
        </w:rPr>
        <w:t>1.13.</w:t>
      </w:r>
      <w:r>
        <w:rPr>
          <w:rFonts w:ascii="Times New Roman;serif" w:hAnsi="Times New Roman;serif"/>
          <w:b w:val="false"/>
          <w:color w:val="000000"/>
          <w:sz w:val="22"/>
          <w:u w:val="single"/>
        </w:rPr>
        <w:t>Execution of Collateral Documents</w:t>
      </w:r>
      <w:r>
        <w:rPr>
          <w:rFonts w:ascii="Times New Roman;serif" w:hAnsi="Times New Roman;serif"/>
          <w:b w:val="false"/>
          <w:color w:val="000000"/>
          <w:sz w:val="22"/>
        </w:rPr>
        <w:t>. The Lenders hereby empower and authorize the Administrative Agent to execute and deliver to the Borrower on their behalf the Collateral Documents and all related financing statements and any financing statements, agreements, documents or instruments as shall be necessary or appropriate to effect the purposes of the Collateral Documents.</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Collateral Releases and Subordination</w:t>
      </w:r>
      <w:r>
        <w:rPr>
          <w:rFonts w:ascii="Times New Roman;serif" w:hAnsi="Times New Roman;serif"/>
          <w:b w:val="false"/>
          <w:color w:val="000000"/>
          <w:sz w:val="22"/>
        </w:rPr>
        <w:t>. The Lenders hereby empower and authorize the Administrative Agent to execute and deliver to the Borrower on their behalf any agreements, documents or instruments as shall be necessary or appropriate to effect any releases of Collateral which shall be permitted</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98830"/>
                <wp:effectExtent l="0" t="0" r="0" b="0"/>
                <wp:wrapNone/>
                <wp:docPr id="104" name="Frame102"/>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by the terms hereof or of any other Loan Document (including, without limitation, in connection with any asset sale permitted hereunder or in connection with any release of a Guarantor made in accordance with the Loan Documents) or which shall otherwise have been approved by the Required Lenders (or, if required by the terms of Section 8.3, all of the Lenders) in writing. In addition, the Lenders authorize the Administrative Agent to release any Guarantor from its obligations under the Loan Documents if such Person is no longer required to be a Guarantor hereunder or if such Person is sold, transferred or assigned in accordance with and to the extent permitted by the terms of this Agreement. Upon the request of the Administrative Agent at any time, the Required Lenders will confirm in writing the Administrative Agent’s authority to release or subordinate its interest in particular types or items of Collateral, or to release any Guarantor from its obligations under the Loan Documents pursuant to the foregoing. In each case as specified herein, the Administrative Agent may (and each Lender hereby authorizes the Administrative Agent to), at the Borrower’s expense, execute and deliver to the applicable Loan Party such documents as such Loan Party may reasonably request to evidence the release of such item of Collateral from the security interest granted under the Loan Documents or to subordinate its interest therein, or to release a Guarantor from its obligations under the Guaranty, in each case in accordance with the terms of the Loan Documents.</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1.14.</w:t>
      </w:r>
      <w:r>
        <w:rPr>
          <w:rFonts w:ascii="Times New Roman;serif" w:hAnsi="Times New Roman;serif"/>
          <w:b w:val="false"/>
          <w:color w:val="000000"/>
          <w:sz w:val="22"/>
          <w:u w:val="single"/>
        </w:rPr>
        <w:t>No Advisory or Fiduciary Responsibility</w:t>
      </w:r>
      <w:r>
        <w:rPr>
          <w:rFonts w:ascii="Times New Roman;serif" w:hAnsi="Times New Roman;serif"/>
          <w:b w:val="false"/>
          <w:color w:val="000000"/>
          <w:sz w:val="22"/>
        </w:rPr>
        <w:t>. 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Administrative Agent and the Lenders are arm’s-length commercial transactions between the Borrower and its Affiliates, on the one hand, and the Administrative Agent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Administrative Agent and the Lenders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nor any Lender has any obligation to the Borrower or any of its Affiliates with respect to the transactions contemplated hereby except those obligations expressly set forth herein and in the other Loan Documents; and (iii) the Administrative Agent and each of the Lenders and their respective Affiliates may be engaged in a broad range of transactions that involve interests that differ from those of the Borrower and its Affiliates, and neither the Administrative Agent nor any Lender has any obligation to disclose any of such interests to the Borrower or its Affiliates. To the fullest extent permitted by law, the Borrower hereby waives and releases any claims that it may have against the Administrative Agent and each of the Lenders with respect to any breach or alleged breach of agency or fiduciary duty in connection with any aspect of any transaction contemplated hereby.</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ARTICLE XI</w:t>
      </w:r>
    </w:p>
    <w:p>
      <w:pPr>
        <w:pStyle w:val="TextBody"/>
        <w:bidi w:val="0"/>
        <w:spacing w:before="3" w:after="283"/>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SETOFF; RATABLE PAYMENTS</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Setoff</w:t>
      </w:r>
      <w:r>
        <w:rPr>
          <w:rFonts w:ascii="Times New Roman;serif" w:hAnsi="Times New Roman;serif"/>
          <w:b w:val="false"/>
          <w:color w:val="000000"/>
          <w:sz w:val="22"/>
        </w:rPr>
        <w:t xml:space="preserve">. The Borrower hereby grants each Lender a security interest in all deposits, credits and deposit accounts (including all account balances, whether provisional or final and whether or not collected or available) of the Borrower with such Lender or any Affiliate of such Lender (the “Deposits”) to secure the Obligations. In addition to, and without limitation of, any rights of the Lenders under applicable law, if the Borrower becomes insolvent, however evidenced, or any Event of Default occurs, Borrower authorizes each Lender, with the prior written consent of the Administrative Agent, to offset and apply all such Deposits toward the payment of the Obligations owing to such Lender, whether or not the Obligations, or any part thereof, shall then be due and regardless of the existence or adequacy of any collateral, guaranty or any other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98830"/>
                <wp:effectExtent l="0" t="0" r="0" b="0"/>
                <wp:wrapNone/>
                <wp:docPr id="105" name="Frame103"/>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security, right or remedy available to such Lender or the Lenders; provided, that in the event that any Defaulting Lender shall exercise such right of setoff, (x) all amounts so set off</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98830"/>
                <wp:effectExtent l="0" t="0" r="0" b="0"/>
                <wp:wrapNone/>
                <wp:docPr id="106" name="Frame104"/>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shall be paid over immediately to the Administrative Agent for further application in accordance with the provisions of Section 2.22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w:t>
      </w:r>
    </w:p>
    <w:p>
      <w:pPr>
        <w:pStyle w:val="TextBody"/>
        <w:bidi w:val="0"/>
        <w:spacing w:lineRule="auto" w:line="288" w:before="239" w:after="283"/>
        <w:ind w:left="0" w:right="0" w:firstLine="719"/>
        <w:jc w:val="both"/>
        <w:rPr/>
      </w:pPr>
      <w:r>
        <w:rPr>
          <w:rFonts w:ascii="Times New Roman;serif" w:hAnsi="Times New Roman;serif"/>
          <w:b w:val="false"/>
          <w:color w:val="000000"/>
          <w:sz w:val="22"/>
        </w:rPr>
        <w:t>1.15.</w:t>
      </w:r>
      <w:r>
        <w:rPr>
          <w:rFonts w:ascii="Times New Roman;serif" w:hAnsi="Times New Roman;serif"/>
          <w:b w:val="false"/>
          <w:color w:val="000000"/>
          <w:sz w:val="22"/>
          <w:u w:val="single"/>
        </w:rPr>
        <w:t>Ratable Payments</w:t>
      </w:r>
      <w:r>
        <w:rPr>
          <w:rFonts w:ascii="Times New Roman;serif" w:hAnsi="Times New Roman;serif"/>
          <w:b w:val="false"/>
          <w:color w:val="000000"/>
          <w:sz w:val="22"/>
        </w:rPr>
        <w:t>. If any Lender, whether by setoff or otherwise, has payment made to it upon its Revolving Exposure (other than payments received pursuant to Section 3.1, 3.2, or 3.5) in a greater proportion than that received by any other Lender, such Lender agrees, promptly upon demand, to purchase a portion of the Aggregate Revolving Exposure held by the other Lenders so that after such purchase each Lender will hold its Pro Rata Share of the Aggregate Revolving Exposure. If any Lender, whether in connection with setoff or amounts which might be subject to setoff or otherwise, receives collateral or other protection for its Obligations or such amounts which may be subject to setoff, such Lender agrees, promptly upon demand, to take such action necessary such that all Lenders share in the benefits of such collateral or other protection ratably in proportion to their respective Pro Rata Shares of the Aggregate Revolving Exposure. In case any such payment is disturbed by legal process, or otherwise, appropriate further adjustments shall be made.</w:t>
      </w:r>
    </w:p>
    <w:p>
      <w:pPr>
        <w:pStyle w:val="TextBody"/>
        <w:bidi w:val="0"/>
        <w:spacing w:lineRule="auto" w:line="288" w:before="241" w:after="283"/>
        <w:jc w:val="center"/>
        <w:rPr>
          <w:rFonts w:ascii="Times New Roman;serif" w:hAnsi="Times New Roman;serif"/>
          <w:b/>
          <w:color w:val="000000"/>
          <w:sz w:val="22"/>
        </w:rPr>
      </w:pPr>
      <w:r>
        <w:rPr>
          <w:rFonts w:ascii="Times New Roman;serif" w:hAnsi="Times New Roman;serif"/>
          <w:b/>
          <w:color w:val="000000"/>
          <w:sz w:val="22"/>
        </w:rPr>
        <w:t>ARTICLE XII</w:t>
      </w:r>
    </w:p>
    <w:p>
      <w:pPr>
        <w:pStyle w:val="TextBody"/>
        <w:bidi w:val="0"/>
        <w:spacing w:before="3" w:after="283"/>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BENEFIT OF AGREEMENT; ASSIGNMENTS; PARTICIPATIONS</w:t>
      </w:r>
    </w:p>
    <w:p>
      <w:pPr>
        <w:pStyle w:val="TextBody"/>
        <w:bidi w:val="0"/>
        <w:spacing w:lineRule="auto" w:line="288" w:before="237" w:after="283"/>
        <w:ind w:left="0" w:right="0" w:firstLine="719"/>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The terms and provisions of the Loan Documents shall be binding upon and inure to the benefit of the Borrower and the Lenders and their respective successors and assigns permitted hereby, except that (i) the Borrower shall not have the right to assign its rights or obligations under the Loan Documents without the prior written consent of each Lender, (ii) any assignment by any Lender must be made in compliance with Section 12.3, and (iii) any transfer by participation must be made in compliance with Section 12.2. Any attempted assignment or transfer by any party not made in compliance with this Section 12.1 shall be null and void, unless such attempted assignment or transfer is treated as a participation in accordance with the terms of this Agreement. The parties to this Agreement acknowledge that clause (ii) of this Section 12.1 relates only to absolute assignments and this Section 12.1 does not prohibit assignments creating security interests, including, without limitation, (x) any pledge or assignment by any Lender of all or any portion of its rights under this Agreement and any Note to a Federal Reserve Bank or (y) in the case of a Lender which is a Fund, any pledge or assignment of all or any portion of its rights under this Agreement and any Note to its trustee in support of its obligations to its trustee; provided, however, that no such pledge or assignment creating a security interest shall release the transferor Lender from its obligations hereunder unless and until the parties thereto have complied with the provisions of Section 12.3. The Administrative Agent may treat the Person which made any Loan or which holds any Note as the owner thereof for all purposes hereof unless and until such Person complies with Section 12.3; provided, however, that the Administrative Agent may in its discretion (but shall not be required to) follow instructions from the Person which made any Loan or which holds any Note to direct payments relating to such Loan or Note to another Person. Any assignee of the rights to any Loan or any Note agrees by acceptance of such assignment to be bound by all the terms and provisions of the Loan Documents. Any request, authority or consent of any Person, who at the time of making such request or giving such authority or consent is the owner of the rights to any Loan (whether or not a Note has been issued in evidence thereof), shall be conclusive and binding on any subsequent holder or assignee of the rights to such Loan.</w:t>
      </w:r>
    </w:p>
    <w:p>
      <w:pPr>
        <w:pStyle w:val="TextBody"/>
        <w:bidi w:val="0"/>
        <w:spacing w:lineRule="auto" w:line="288" w:before="0" w:after="0"/>
        <w:ind w:left="0" w:right="0" w:firstLine="719"/>
        <w:jc w:val="left"/>
        <w:rPr/>
      </w:pPr>
      <w:r>
        <w:rPr>
          <w:rFonts w:ascii="Times New Roman;serif" w:hAnsi="Times New Roman;serif"/>
          <w:b w:val="false"/>
          <w:color w:val="000000"/>
          <w:sz w:val="22"/>
          <w:u w:val="single"/>
        </w:rPr>
        <w:t>Participations</w:t>
      </w:r>
      <w:r>
        <w:rPr>
          <w:rFonts w:ascii="Times New Roman;serif" w:hAnsi="Times New Roman;serif"/>
          <w:b w:val="false"/>
          <w:color w:val="000000"/>
          <w:sz w:val="22"/>
        </w:rPr>
        <w:t>.</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98830"/>
                <wp:effectExtent l="0" t="0" r="0" b="0"/>
                <wp:wrapNone/>
                <wp:docPr id="107" name="Frame105"/>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left"/>
        <w:rPr/>
      </w:pPr>
      <w:r>
        <w:rPr/>
      </w:r>
    </w:p>
    <w:p>
      <w:pPr>
        <w:pStyle w:val="TextBody"/>
        <w:bidi w:val="0"/>
        <w:spacing w:lineRule="auto" w:line="288" w:before="79" w:after="283"/>
        <w:ind w:left="0" w:right="0" w:firstLine="719"/>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Permitted Participants; Effect</w:t>
      </w:r>
      <w:r>
        <w:rPr>
          <w:rFonts w:ascii="Times New Roman;serif" w:hAnsi="Times New Roman;serif"/>
          <w:b w:val="false"/>
          <w:color w:val="000000"/>
          <w:sz w:val="22"/>
        </w:rPr>
        <w:t>. Any Lender may at any time sell to one or more entities (“Participants”) participating interests in any Revolving Exposure owing to such Lender, any Note held by such Lender, any Revolving Commitment of such Lender or any other interest of such Lender under the Loan Documents. In the event of any such sale by a Lender of participating interests to a Participant, such Lender’s obligations under the Loan Documents shall remain unchanged, such Lender shall remain solely responsible to the other parties hereto for the performance of such obligations, such Lender shall remain the owner of its Revolving Exposure and the holder of any Note issued to it in evidence thereof for all purposes under the Loan Documents, all amounts payable by the Borrower under this Agreement shall be determined as if such Lender had not sold such participating interests, and the Borrower and the Administrative Agent shall continue to deal solely and directly with such Lender in connection with such Lender’s rights and obligations under the Loan Documents.</w:t>
      </w:r>
    </w:p>
    <w:p>
      <w:pPr>
        <w:pStyle w:val="TextBody"/>
        <w:bidi w:val="0"/>
        <w:spacing w:lineRule="auto" w:line="288" w:before="239" w:after="283"/>
        <w:ind w:left="0" w:right="0" w:firstLine="719"/>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Voting Rights</w:t>
      </w:r>
      <w:r>
        <w:rPr>
          <w:rFonts w:ascii="Times New Roman;serif" w:hAnsi="Times New Roman;serif"/>
          <w:b w:val="false"/>
          <w:color w:val="000000"/>
          <w:sz w:val="22"/>
        </w:rPr>
        <w:t>. Each Lender shall retain the sole right to approve, without the consent of any Participant, any amendment, modification or waiver of any provision of the Loan Documents provided that each such Lender may agree in its participation agreement with its Participant that such Lender will not vote to approve any amendment, modification or waiver with respect to any Revolving Exposure or Revolving Commitment in which such Participant has an interest which would require consent of all of the Lenders pursuant to the terms of Section 8.3 or of any other Loan Document.</w:t>
      </w:r>
    </w:p>
    <w:p>
      <w:pPr>
        <w:pStyle w:val="TextBody"/>
        <w:bidi w:val="0"/>
        <w:spacing w:lineRule="auto" w:line="288" w:before="241" w:after="283"/>
        <w:ind w:left="0" w:right="0" w:firstLine="719"/>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Benefit of Certain Provisions</w:t>
      </w:r>
      <w:r>
        <w:rPr>
          <w:rFonts w:ascii="Times New Roman;serif" w:hAnsi="Times New Roman;serif"/>
          <w:b w:val="false"/>
          <w:color w:val="000000"/>
          <w:sz w:val="22"/>
        </w:rPr>
        <w:t>. The Borrower agrees that each Participant shall be deemed to have the right of setoff provided in Section 11.1 in respect of its participating interest in amounts owing under the Loan Documents to the same extent as if the amount of its participating interest were owing directly to it as a Lender under the Loan Documents, provided that each Lender shall retain the right of setoff provided in Section 11.1 with respect to the amount of participating interests sold to each Participant. The Lenders agree to share with each Participant, and each Participant, by exercising the right of setoff provided in Section 11.1, agrees to share with each Lender, any amount received pursuant to the exercise of its right of setoff, such amounts to be shared in accordance with Section 11.2 as if each Participant were a Lender. The Borrower further agrees that each Participant shall be entitled to the benefits of Sections 3.1, 3.2, 3.5, 9.6 and 9.10 to the same extent as if it were a Lender and had acquired its interest by assignment pursuant to Section 12.3, provided that (i) a Participant shall not be entitled to receive any greater payment under Section 3.1 or 3.2 than the Lender who sold the participating interest to such Participant would have received had it retained such interest for its own account, unless the sale of such interest to such Participant is made with the prior written consent of the Borrower, and (ii) a Participant shall not be entitled to receive any greater payment under Section 3.5 than the Lender who sold the participating interest to such Participant would have received had it retained such interest for its own account (A) except to the extent such entitlement to receive a greater payment results from a change in treaty, law or regulation (or any change in the interpretation or administration thereof by any Governmental Authority) that occurs after the Participant acquired the applicable participation and (B), in the case of any Participant that would be a Non-</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 xml:space="preserve">U.S. Lender if it were a Lender, such Participant agrees to comply with the provisions of Section 3.5 to the same extent as if it were a Lender (it being understood that the documentation required under Section 3.5(f) shall be delivered to the participating Lender). Each Lender that sells a participation shall, acting solely for this purpose as an agent of the Borrower, maintain a register on which it enters the name and address of each Participant and the principal amounts (and stated interest) of each Participant’s interest in any Revolving Exposure, any Note, any Revolving Commitment or any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Revolving Exposure, any Note, any Revolving Commitment or any other obligations under the Loan Documents) to any Person except to the extent that such disclosure is necessary to establish that such </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98830"/>
                <wp:effectExtent l="0" t="0" r="0" b="0"/>
                <wp:wrapNone/>
                <wp:docPr id="108" name="Frame106"/>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Revolving Exposure, any Note, any Revolving Commitment or any other obligations under the Loan Documents is in registered form under Section 5f.103-1(c) of the United States Treasury Regulations. The entries in the Participant Register shall be conclusive absent manifest error, and</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98830"/>
                <wp:effectExtent l="0" t="0" r="0" b="0"/>
                <wp:wrapNone/>
                <wp:docPr id="109" name="Frame107"/>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88" w:before="243" w:after="283"/>
        <w:ind w:left="0" w:right="0" w:hanging="720"/>
        <w:jc w:val="left"/>
        <w:rPr/>
      </w:pPr>
      <w:r>
        <w:rPr>
          <w:rFonts w:ascii="Times New Roman;serif" w:hAnsi="Times New Roman;serif"/>
          <w:b w:val="false"/>
          <w:color w:val="000000"/>
          <w:sz w:val="22"/>
        </w:rPr>
        <w:t>1.2.</w:t>
      </w:r>
      <w:r>
        <w:rPr>
          <w:rFonts w:ascii="Times New Roman;serif" w:hAnsi="Times New Roman;serif"/>
          <w:b w:val="false"/>
          <w:color w:val="000000"/>
          <w:sz w:val="22"/>
          <w:u w:val="single"/>
        </w:rPr>
        <w:t>Assignments</w:t>
      </w:r>
      <w:r>
        <w:rPr>
          <w:rFonts w:ascii="Times New Roman;serif" w:hAnsi="Times New Roman;serif"/>
          <w:b w:val="false"/>
          <w:color w:val="000000"/>
          <w:sz w:val="22"/>
        </w:rPr>
        <w:t>.</w:t>
      </w:r>
    </w:p>
    <w:p>
      <w:pPr>
        <w:pStyle w:val="TextBody"/>
        <w:bidi w:val="0"/>
        <w:spacing w:lineRule="auto" w:line="288" w:before="237" w:after="283"/>
        <w:ind w:left="0" w:right="0" w:firstLine="719"/>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Permitted Assignments</w:t>
      </w:r>
      <w:r>
        <w:rPr>
          <w:rFonts w:ascii="Times New Roman;serif" w:hAnsi="Times New Roman;serif"/>
          <w:b w:val="false"/>
          <w:color w:val="000000"/>
          <w:sz w:val="22"/>
        </w:rPr>
        <w:t>. Any Lender may at any time assign to one or more Eligible Assignees (“Purchasers”) all or any part of its rights and obligations under the Loan Documents. Such assignment shall be substantially in the form of Exhibit C or in such other form reasonably acceptable to the Administrative Agent as may be agreed to by the parties thereto. Each such assignment with respect to a Purchaser which is not a Lender or an Affiliate of a Lender or an Approved Fund shall either be in an amount equal to the entire applicable Revolving Commitment and Revolving Exposure of the assigning Lender or (unless each of the Borrower and the Administrative Agent otherwise consents) be in an aggregate amount not less than $5,000,000. The amount of the assignment shall be based on the Revolving Commitment or Revolving Exposure (if the Revolving Commitment has been terminated) subject to the assignment, determined as of the date of such assignment or as of the “Trade Date,” if the “Trade Date” is specified in the assignment. The consent of the Administrative Agent shall be required prior to an assignment becoming effective.</w:t>
      </w:r>
    </w:p>
    <w:p>
      <w:pPr>
        <w:pStyle w:val="TextBody"/>
        <w:bidi w:val="0"/>
        <w:spacing w:lineRule="auto" w:line="288" w:before="240" w:after="283"/>
        <w:ind w:left="0" w:right="0" w:firstLine="719"/>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Effect; Assignment Effective Date</w:t>
      </w:r>
      <w:r>
        <w:rPr>
          <w:rFonts w:ascii="Times New Roman;serif" w:hAnsi="Times New Roman;serif"/>
          <w:b w:val="false"/>
          <w:color w:val="000000"/>
          <w:sz w:val="22"/>
        </w:rPr>
        <w:t>. Upon (i) delivery to the Administrative Agent of an assignment, together with any consents required by Sections 12.3(a) and 12.3(b), and (ii) payment of a</w:t>
      </w:r>
    </w:p>
    <w:p>
      <w:pPr>
        <w:pStyle w:val="TextBody"/>
        <w:bidi w:val="0"/>
        <w:spacing w:lineRule="auto" w:line="288" w:before="1" w:after="283"/>
        <w:jc w:val="both"/>
        <w:rPr>
          <w:rFonts w:ascii="Times New Roman;serif" w:hAnsi="Times New Roman;serif"/>
          <w:b w:val="false"/>
          <w:color w:val="000000"/>
          <w:sz w:val="22"/>
        </w:rPr>
      </w:pPr>
      <w:r>
        <w:rPr>
          <w:rFonts w:ascii="Times New Roman;serif" w:hAnsi="Times New Roman;serif"/>
          <w:b w:val="false"/>
          <w:color w:val="000000"/>
          <w:sz w:val="22"/>
        </w:rPr>
        <w:t>$3,500 fee to the Administrative Agent for processing such assignment (unless such fee is waived by the Administrative Agent), such assignment shall become effective on the effective date specified in such assignment. The assignment shall contain a representation by the Purchaser to the effect that none of the consideration used to make the purchase of the Revolving Commitment and Revolving Exposure under the applicable assignment agreement constitutes “plan assets” as defined under ERISA and that the rights and interests of the Purchaser in and under the Loan Documents will not be “plan assets” under ERISA. On and after the effective date of such assignment, such Purchaser shall for all purposes be a Lender party to this Agreement and any other Loan Document executed by or on behalf of the Lenders and shall have all the rights and obligations of a Lender under the Loan Documents, to the same extent as if it were an original party thereto, and the transferor Lender shall be released with respect to the Revolving Commitment and Revolving Exposure assigned to such Purchaser without any further consent or action by the Borrower, the Lenders or the Administrative Agent. In the case of an assignment covering all of the assigning Lender’s rights and obligations under this Agreement, such Lender shall cease to be a Lender hereunder but shall continue to be entitled to the benefits of, and subject to, those provisions of this Agreement and the other Loan Documents which survive payment of the Obligations and termination of the applicable agreement. Any assignment or transfer by a Lender of rights or obligations under this Agreement that does not comply with this Section 12.3 shall be treated for purposes of this Agreement as a sale by such Lender of a participation in such rights and obligations in accordance with Section 12.2. Upon the consummation of any assignment to a Purchaser pursuant to this Section 12.3(c), the transferor Lender, the Administrative Agent and the Borrower shall, if the transferor Lender or the Purchaser desires that its Loans be evidenced by Notes, make appropriate arrangements so that new Notes or, as appropriate, replacement Notes are issued to such transferor Lender and new Notes or, as appropriate, replacement Notes, are issued to such Purchaser, in each case in principal amounts reflecting their respective Revolving Commitments, as adjusted pursuant to such assignment.</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Register</w:t>
      </w:r>
      <w:r>
        <w:rPr>
          <w:rFonts w:ascii="Times New Roman;serif" w:hAnsi="Times New Roman;serif"/>
          <w:b w:val="false"/>
          <w:color w:val="000000"/>
          <w:sz w:val="22"/>
        </w:rPr>
        <w:t>. The Administrative Agent, acting solely for this purpose as an agent of the Borrower, shall maintain at one of its offices in the United States of America, a copy of each Assignment and Assumption delivered to it and a register for the recordation of the names and addresses of the Lenders, and the Revolving Commitments of, and principal amounts (and stated interest) of the Loans owing to, each</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98830"/>
                <wp:effectExtent l="0" t="0" r="0" b="0"/>
                <wp:wrapNone/>
                <wp:docPr id="110" name="Frame108"/>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99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val="false"/>
          <w:color w:val="000000"/>
          <w:sz w:val="22"/>
        </w:rPr>
      </w:pPr>
      <w:r>
        <w:rPr>
          <w:rFonts w:ascii="Times New Roman;serif" w:hAnsi="Times New Roman;serif"/>
          <w:b w:val="false"/>
          <w:color w:val="000000"/>
          <w:sz w:val="22"/>
        </w:rPr>
        <w:t>Lender, and participations of each Lender in Facility LCs, pursuant to the terms hereof from time to time (the “Register”).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each Lender at any reasonable time and from time to time upon reasonable prior notice.</w:t>
      </w:r>
    </w:p>
    <w:p>
      <w:pPr>
        <w:pStyle w:val="TextBody"/>
        <w:bidi w:val="0"/>
        <w:spacing w:lineRule="auto" w:line="288" w:before="239" w:after="283"/>
        <w:ind w:left="0" w:right="0" w:firstLine="719"/>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Dissemination of Information</w:t>
      </w:r>
      <w:r>
        <w:rPr>
          <w:rFonts w:ascii="Times New Roman;serif" w:hAnsi="Times New Roman;serif"/>
          <w:b w:val="false"/>
          <w:color w:val="000000"/>
          <w:sz w:val="22"/>
        </w:rPr>
        <w:t>. The Borrower authorizes each Lender to disclose to any Participant or Purchaser or any other Person acquiring an interest in the Loan Documents by operation of law (each a “Transferee”) and any prospective Transferee any and all information in such Lender’s possession; provided that each Transferee and prospective Transferee agrees to be bound by Section 9.11 of this Agreement.</w:t>
      </w:r>
    </w:p>
    <w:p>
      <w:pPr>
        <w:pStyle w:val="TextBody"/>
        <w:bidi w:val="0"/>
        <w:spacing w:lineRule="auto" w:line="288" w:before="240" w:after="283"/>
        <w:ind w:left="0" w:right="0" w:firstLine="719"/>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Resignation as LC Issuer or Swing Line Lender after Assignment</w:t>
      </w:r>
      <w:r>
        <w:rPr>
          <w:rFonts w:ascii="Times New Roman;serif" w:hAnsi="Times New Roman;serif"/>
          <w:b w:val="false"/>
          <w:color w:val="000000"/>
          <w:sz w:val="22"/>
        </w:rPr>
        <w:t>. Notwithstanding anything to the contrary contained herein, if at any time U.S. Bank National Association or any other LC Issuer assigns all of its Revolving Commitments and Loans pursuant to subsection (b) above, (i) U.S. Bank National Association or any other LC Issuer may, upon 30 days’ notice to the Borrower and the Lenders, resign as LC Issuer and/or (ii) U.S. Bank National Association or any other Swing Line Lender may, upon 30 days’ notice to the Borrower, resign as Swing Line Lender. In the event of any such resignation as LC Issuer or Swing Line Lender, the Borrower shall be entitled to appoint from among the Lenders a successor LC Issuer or Swing Line Lender hereunder; provided, however, that no failure by the Borrower to appoint any such successor shall affect the resignation of such LC Issuer or Swing Line Lender, as the case may be. If U.S. Bank National Association resigns as LC Issuer, it shall retain all the rights, powers, privileges and duties of the LC Issuer hereunder with respect to all Facility LCs outstanding as of the effective time of its resignation as LC Issuer and all LC Obligations with respect thereto (including the right to require the Lenders to make Base Rate Loans or fund risk participations pursuant to Section 2.19(b)). If U.S. Bank National Association resigns as Swing Line Lender, it shall retain all the rights of the Swing Line Lender provided for hereunder with respect to Swing Line Loans made by it and outstanding as of the effective time of such resignation, including the right to require the Lenders to make Base Rate Loans or fund risk participations in outstanding Swing Line Loans pursuant to Section 2.4(d).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Facility LCs, if any, outstanding at the time of such succession or make other arrangements satisfactory to such LC Issuer to effectively assume the obligations of such LC Issuer with respect to such Facility LCs.</w:t>
      </w:r>
    </w:p>
    <w:p>
      <w:pPr>
        <w:pStyle w:val="TextBody"/>
        <w:bidi w:val="0"/>
        <w:spacing w:lineRule="auto" w:line="559" w:before="235" w:after="283"/>
        <w:jc w:val="center"/>
        <w:rPr/>
      </w:pPr>
      <w:r>
        <w:rPr>
          <w:rFonts w:ascii="Times New Roman;serif" w:hAnsi="Times New Roman;serif"/>
          <w:b/>
          <w:color w:val="000000"/>
          <w:sz w:val="22"/>
        </w:rPr>
        <w:t xml:space="preserve">ARTICLE XIII </w:t>
      </w:r>
      <w:r>
        <w:rPr>
          <w:rFonts w:ascii="Times New Roman;serif" w:hAnsi="Times New Roman;serif"/>
          <w:b/>
          <w:color w:val="000000"/>
          <w:sz w:val="22"/>
          <w:u w:val="single"/>
        </w:rPr>
        <w:t>NOTICES</w:t>
      </w:r>
    </w:p>
    <w:p>
      <w:pPr>
        <w:pStyle w:val="TextBody"/>
        <w:bidi w:val="0"/>
        <w:spacing w:lineRule="atLeast" w:line="245" w:before="0" w:after="0"/>
        <w:ind w:left="0" w:right="0" w:hanging="720"/>
        <w:jc w:val="left"/>
        <w:rPr/>
      </w:pPr>
      <w:r>
        <w:rPr>
          <w:rFonts w:ascii="Times New Roman;serif" w:hAnsi="Times New Roman;serif"/>
          <w:b w:val="false"/>
          <w:color w:val="000000"/>
          <w:sz w:val="22"/>
        </w:rPr>
        <w:t>1.1.</w:t>
      </w:r>
      <w:r>
        <w:rPr>
          <w:rFonts w:ascii="Times New Roman;serif" w:hAnsi="Times New Roman;serif"/>
          <w:b w:val="false"/>
          <w:color w:val="000000"/>
          <w:sz w:val="22"/>
          <w:u w:val="single"/>
        </w:rPr>
        <w:t>Notices; Effectiveness; Electronic Communication</w:t>
      </w:r>
      <w:r>
        <w:rPr>
          <w:rFonts w:ascii="Times New Roman;serif" w:hAnsi="Times New Roman;serif"/>
          <w:b w:val="false"/>
          <w:color w:val="000000"/>
          <w:sz w:val="22"/>
        </w:rPr>
        <w:t>.</w:t>
      </w:r>
    </w:p>
    <w:p>
      <w:pPr>
        <w:pStyle w:val="TextBody"/>
        <w:bidi w:val="0"/>
        <w:spacing w:lineRule="auto" w:line="288" w:before="237" w:after="283"/>
        <w:ind w:left="0" w:right="0" w:firstLine="719"/>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Notices Generally</w:t>
      </w:r>
      <w:r>
        <w:rPr>
          <w:rFonts w:ascii="Times New Roman;serif" w:hAnsi="Times New Roman;serif"/>
          <w:b w:val="false"/>
          <w:color w:val="000000"/>
          <w:sz w:val="22"/>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pStyle w:val="TextBody"/>
        <w:bidi w:val="0"/>
        <w:spacing w:lineRule="auto" w:line="288" w:before="0" w:after="0"/>
        <w:ind w:left="0" w:right="0" w:firstLine="719"/>
        <w:jc w:val="left"/>
        <w:rPr>
          <w:rFonts w:ascii="Times New Roman;serif" w:hAnsi="Times New Roman;serif"/>
          <w:b w:val="false"/>
          <w:color w:val="000000"/>
          <w:sz w:val="22"/>
        </w:rPr>
      </w:pPr>
      <w:r>
        <w:rPr>
          <w:rFonts w:ascii="Times New Roman;serif" w:hAnsi="Times New Roman;serif"/>
          <w:b w:val="false"/>
          <w:color w:val="000000"/>
          <w:sz w:val="22"/>
        </w:rPr>
        <w:t>if to the Borrower, to it at 15147 N. Scottsdale Road, Suite H300, Scottsdale, AZ 85254, Attention: Chief Financial Officer;</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98830"/>
                <wp:effectExtent l="0" t="0" r="0" b="0"/>
                <wp:wrapNone/>
                <wp:docPr id="111" name="Frame109"/>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100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left"/>
        <w:rPr/>
      </w:pPr>
      <w:r>
        <w:rPr/>
      </w:r>
    </w:p>
    <w:p>
      <w:pPr>
        <w:pStyle w:val="TextBody"/>
        <w:bidi w:val="0"/>
        <w:spacing w:lineRule="auto" w:line="280" w:before="79" w:after="283"/>
        <w:ind w:left="0" w:right="0" w:hanging="720"/>
        <w:jc w:val="both"/>
        <w:rPr/>
      </w:pPr>
      <w:r>
        <w:rPr>
          <w:rFonts w:ascii="Times New Roman;serif" w:hAnsi="Times New Roman;serif"/>
          <w:b w:val="false"/>
          <w:color w:val="000000"/>
          <w:sz w:val="22"/>
        </w:rPr>
        <w:t>(i)if to the Administrative Agent or the LC Issuer, to U.S. Bank National Association at One U.S. Bank Plaza St. Louis, Mail Code SL-MO-T7CP, 505 N 7</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Street, Saint Louis, MO 63101; or</w:t>
      </w:r>
    </w:p>
    <w:p>
      <w:pPr>
        <w:pStyle w:val="TextBody"/>
        <w:bidi w:val="0"/>
        <w:spacing w:lineRule="auto" w:line="283" w:before="232"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(ii)if to a Lender other than U.S. Bank National Association, to it at its address (or facsimile number) set forth in its Administrative Questionnaire.</w:t>
      </w:r>
    </w:p>
    <w:p>
      <w:pPr>
        <w:pStyle w:val="TextBody"/>
        <w:bidi w:val="0"/>
        <w:spacing w:lineRule="auto" w:line="288" w:before="230" w:after="283"/>
        <w:jc w:val="both"/>
        <w:rPr>
          <w:rFonts w:ascii="Times New Roman;serif" w:hAnsi="Times New Roman;serif"/>
          <w:b w:val="false"/>
          <w:color w:val="000000"/>
          <w:sz w:val="22"/>
        </w:rPr>
      </w:pPr>
      <w:r>
        <w:rPr>
          <w:rFonts w:ascii="Times New Roman;serif" w:hAnsi="Times New Roman;serif"/>
          <w:b w:val="false"/>
          <w:color w:val="000000"/>
          <w:sz w:val="22"/>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except that notices to the Administrative Agent, a Lender or the LC Issuer under Article II shall not be effective unless and until actually received by the addressee thereof. Notices delivered through electronic communications to the extent provided in paragraph (b) below, shall be effective as provided in said paragraph (b).</w:t>
      </w:r>
    </w:p>
    <w:p>
      <w:pPr>
        <w:pStyle w:val="TextBody"/>
        <w:bidi w:val="0"/>
        <w:spacing w:lineRule="auto" w:line="288" w:before="241" w:after="283"/>
        <w:ind w:left="0" w:right="0" w:firstLine="719"/>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Electronic Communications</w:t>
      </w:r>
      <w:r>
        <w:rPr>
          <w:rFonts w:ascii="Times New Roman;serif" w:hAnsi="Times New Roman;serif"/>
          <w:b w:val="false"/>
          <w:color w:val="000000"/>
          <w:sz w:val="22"/>
        </w:rPr>
        <w:t>. Notices and other communications to the Lenders and the LC Issuer hereunder may be delivered or furnished by electronic communication (including e-mail and internet or intranet websites) pursuant to procedures approved by the Administrative Agent or as otherwise determined by the Administrative Agent, provided that the foregoing shall not apply to notices to any Lender or the LC Issuer pursuant to Article II if such Lender or the LC Issuer, as applicable, has notified the Administrative Agent that it is incapable of receiving notices under such Article by electronic communication. The Administrative Agent or the Borrower may, in its respective discretion, agree to accept notices and other communications to it hereunder by electronic communications pursuant to procedures approved by it or as it otherwise determines, provided that such determination or approval may be limited to particular notices or communications.</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given during the normal business hours of the recipient, such notice or communication shall be deemed to have been given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lineRule="auto" w:line="288" w:before="241" w:after="283"/>
        <w:ind w:left="0" w:right="0" w:firstLine="719"/>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Change of Address, Etc</w:t>
      </w:r>
      <w:r>
        <w:rPr>
          <w:rFonts w:ascii="Times New Roman;serif" w:hAnsi="Times New Roman;serif"/>
          <w:b w:val="false"/>
          <w:color w:val="000000"/>
          <w:sz w:val="22"/>
        </w:rPr>
        <w:t>. Any party hereto may change its address or facsimile number for notices and other communications hereunder by notice to the other parties hereto given in the manner set forth in this Section 13.1.</w:t>
      </w:r>
    </w:p>
    <w:p>
      <w:pPr>
        <w:pStyle w:val="TextBody"/>
        <w:bidi w:val="0"/>
        <w:spacing w:lineRule="auto" w:line="288" w:before="239" w:after="283"/>
        <w:jc w:val="center"/>
        <w:rPr>
          <w:rFonts w:ascii="Times New Roman;serif" w:hAnsi="Times New Roman;serif"/>
          <w:b/>
          <w:color w:val="000000"/>
          <w:sz w:val="22"/>
        </w:rPr>
      </w:pPr>
      <w:r>
        <w:rPr>
          <w:rFonts w:ascii="Times New Roman;serif" w:hAnsi="Times New Roman;serif"/>
          <w:b/>
          <w:color w:val="000000"/>
          <w:sz w:val="22"/>
        </w:rPr>
        <w:t>ARTICLE XIV</w:t>
      </w:r>
    </w:p>
    <w:p>
      <w:pPr>
        <w:pStyle w:val="TextBody"/>
        <w:bidi w:val="0"/>
        <w:spacing w:before="1" w:after="283"/>
        <w:jc w:val="left"/>
        <w:rPr/>
      </w:pPr>
      <w:r>
        <w:rPr/>
      </w:r>
    </w:p>
    <w:p>
      <w:pPr>
        <w:pStyle w:val="TextBody"/>
        <w:bidi w:val="0"/>
        <w:spacing w:lineRule="auto" w:line="288" w:before="0" w:after="0"/>
        <w:jc w:val="center"/>
        <w:rPr/>
      </w:pPr>
      <w:r>
        <w:rPr>
          <w:rFonts w:ascii="Times New Roman;serif" w:hAnsi="Times New Roman;serif"/>
          <w:b/>
          <w:color w:val="000000"/>
          <w:sz w:val="22"/>
          <w:u w:val="single"/>
        </w:rPr>
        <w:t>COUNTERPARTS; INTEGRATION; EFFECTIVENESS; ELECTRONIC EXECUTION;</w:t>
      </w:r>
      <w:r>
        <w:rPr>
          <w:color w:val="000000"/>
        </w:rPr>
        <w:t xml:space="preserve"> </w:t>
      </w:r>
      <w:r>
        <w:rPr>
          <w:rFonts w:ascii="Times New Roman;serif" w:hAnsi="Times New Roman;serif"/>
          <w:b/>
          <w:color w:val="000000"/>
          <w:sz w:val="22"/>
          <w:u w:val="single"/>
        </w:rPr>
        <w:t>ELECTRONIC RECORDS</w:t>
      </w:r>
    </w:p>
    <w:p>
      <w:pPr>
        <w:pStyle w:val="TextBody"/>
        <w:bidi w:val="0"/>
        <w:spacing w:lineRule="auto" w:line="288" w:before="0" w:after="0"/>
        <w:ind w:left="0" w:right="0" w:firstLine="719"/>
        <w:jc w:val="both"/>
        <w:rPr/>
      </w:pPr>
      <w:r>
        <w:rPr>
          <w:rFonts w:ascii="Times New Roman;serif" w:hAnsi="Times New Roman;serif"/>
          <w:b w:val="false"/>
          <w:color w:val="000000"/>
          <w:sz w:val="22"/>
          <w:u w:val="single"/>
        </w:rPr>
        <w:t>Counterparts; Effectiveness</w:t>
      </w:r>
      <w:r>
        <w:rPr>
          <w:rFonts w:ascii="Times New Roman;serif" w:hAnsi="Times New Roman;serif"/>
          <w:b w:val="false"/>
          <w:color w:val="000000"/>
          <w:sz w:val="22"/>
        </w:rPr>
        <w:t>. This Agreement may be executed in counterparts (and by different parties hereto in different counterparts), each of which shall constitute an original, but all of which when taken together shall constitute a single contract. Except as provided in Article IV, this Agreement shall become effective when it shall have been executed by the Administrative Agent, and when the Administrative Agent shall have received counterparts hereof which, when taken together, bear the signatures of each of the parties hereto, and thereafter shall be binding upon and inure to the benefit of the</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98830"/>
                <wp:effectExtent l="0" t="0" r="0" b="0"/>
                <wp:wrapNone/>
                <wp:docPr id="112" name="Frame110"/>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0" w:before="79" w:after="283"/>
        <w:jc w:val="both"/>
        <w:rPr>
          <w:rFonts w:ascii="Times New Roman;serif" w:hAnsi="Times New Roman;serif"/>
          <w:b w:val="false"/>
          <w:color w:val="000000"/>
          <w:sz w:val="22"/>
        </w:rPr>
      </w:pPr>
      <w:r>
        <w:rPr>
          <w:rFonts w:ascii="Times New Roman;serif" w:hAnsi="Times New Roman;serif"/>
          <w:b w:val="false"/>
          <w:color w:val="000000"/>
          <w:sz w:val="22"/>
        </w:rPr>
        <w:t>parties hereto and their respective successors and assigns. Delivery of an executed counterpart of a signature page of this Agreement by telecopy shall be effective as delivery of a manually executed counterpart of this Agreement.</w:t>
      </w:r>
    </w:p>
    <w:p>
      <w:pPr>
        <w:pStyle w:val="TextBody"/>
        <w:bidi w:val="0"/>
        <w:spacing w:lineRule="auto" w:line="288" w:before="232" w:after="283"/>
        <w:ind w:left="0" w:right="0" w:firstLine="719"/>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Electronic Execution of Assignments</w:t>
      </w:r>
      <w:r>
        <w:rPr>
          <w:rFonts w:ascii="Times New Roman;serif" w:hAnsi="Times New Roman;serif"/>
          <w:b w:val="false"/>
          <w:color w:val="000000"/>
          <w:sz w:val="22"/>
        </w:rPr>
        <w:t>. The words “execution,” “signed,” “signature,” and words of like import in any assignment and assumption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state laws based on the Uniform Electronic Transactions Act.</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Electronic Records</w:t>
      </w:r>
      <w:r>
        <w:rPr>
          <w:rFonts w:ascii="Times New Roman;serif" w:hAnsi="Times New Roman;serif"/>
          <w:b w:val="false"/>
          <w:color w:val="000000"/>
          <w:sz w:val="22"/>
        </w:rPr>
        <w:t>. The Borrower hereby acknowledges the receipt of a copy of this Agreement and all other Loan Documents. The Administrative Agent and each Lender may, on behalf of the Borrower, create a microfilm or optical disk or other electronic image of this Agreement and any or all of the Loan Documents. The Administrative Agent and each Lender may store the electronic image of this Agreement and Loan Documents in its electronic form and then destroy the paper original as part of the Administrative Agent’s and each Lender’s normal business practices, with the electronic image deemed to be an original and of the same legal effect, validity and enforceability as the paper originals. The Administrative Agent and each Lender are authorized, when appropriate, to convert any note into a “transferable record” under the Uniform Electronic Transactions Act.</w:t>
      </w:r>
    </w:p>
    <w:p>
      <w:pPr>
        <w:pStyle w:val="TextBody"/>
        <w:bidi w:val="0"/>
        <w:spacing w:lineRule="auto" w:line="288" w:before="241" w:after="283"/>
        <w:jc w:val="center"/>
        <w:rPr>
          <w:rFonts w:ascii="Times New Roman;serif" w:hAnsi="Times New Roman;serif"/>
          <w:b/>
          <w:color w:val="000000"/>
          <w:sz w:val="22"/>
        </w:rPr>
      </w:pPr>
      <w:r>
        <w:rPr>
          <w:rFonts w:ascii="Times New Roman;serif" w:hAnsi="Times New Roman;serif"/>
          <w:b/>
          <w:color w:val="000000"/>
          <w:sz w:val="22"/>
        </w:rPr>
        <w:t>ARTICLE XV</w:t>
      </w:r>
    </w:p>
    <w:p>
      <w:pPr>
        <w:pStyle w:val="TextBody"/>
        <w:bidi w:val="0"/>
        <w:spacing w:before="3" w:after="283"/>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CHOICE OF LAW; CONSENT TO JURISDICTION; WAIVER OF JURY TRIAL</w:t>
      </w:r>
    </w:p>
    <w:p>
      <w:pPr>
        <w:pStyle w:val="TextBody"/>
        <w:bidi w:val="0"/>
        <w:spacing w:lineRule="auto" w:line="288" w:before="237" w:after="283"/>
        <w:ind w:left="0" w:right="0" w:firstLine="719"/>
        <w:jc w:val="both"/>
        <w:rPr/>
      </w:pPr>
      <w:r>
        <w:rPr>
          <w:rFonts w:ascii="Times New Roman;serif" w:hAnsi="Times New Roman;serif"/>
          <w:b w:val="false"/>
          <w:color w:val="000000"/>
          <w:sz w:val="22"/>
        </w:rPr>
        <w:t>1.1.</w:t>
      </w:r>
      <w:r>
        <w:rPr>
          <w:rFonts w:ascii="Times New Roman;serif" w:hAnsi="Times New Roman;serif"/>
          <w:b/>
          <w:color w:val="000000"/>
          <w:sz w:val="22"/>
          <w:u w:val="single"/>
        </w:rPr>
        <w:t>CHOICE OF LAW</w:t>
      </w:r>
      <w:r>
        <w:rPr>
          <w:rFonts w:ascii="Times New Roman;serif" w:hAnsi="Times New Roman;serif"/>
          <w:b/>
          <w:color w:val="000000"/>
          <w:sz w:val="22"/>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INTERNAL LAWS (WITHOUT REGARD TO THE CONFLICTS OF LAWS PROVISIONS) OF THE STATE OF ARIZONA, BUT GIVING EFFECT TO FEDERAL LAWS APPLICABLE TO NATIONAL BANKS.</w:t>
      </w:r>
    </w:p>
    <w:p>
      <w:pPr>
        <w:pStyle w:val="TextBody"/>
        <w:bidi w:val="0"/>
        <w:spacing w:lineRule="auto" w:line="288" w:before="0" w:after="0"/>
        <w:ind w:left="0" w:right="0" w:firstLine="719"/>
        <w:jc w:val="both"/>
        <w:rPr/>
      </w:pPr>
      <w:r>
        <w:rPr>
          <w:rFonts w:ascii="Times New Roman;serif" w:hAnsi="Times New Roman;serif"/>
          <w:b/>
          <w:color w:val="000000"/>
          <w:sz w:val="22"/>
          <w:u w:val="single"/>
        </w:rPr>
        <w:t>CONSENT TO JURISDICTION</w:t>
      </w:r>
      <w:r>
        <w:rPr>
          <w:rFonts w:ascii="Times New Roman;serif" w:hAnsi="Times New Roman;serif"/>
          <w:b/>
          <w:color w:val="000000"/>
          <w:sz w:val="22"/>
        </w:rPr>
        <w:t>. THE BORROWER IRREVOCABLY AND UNCONDITIONALLY AGREES THAT IT WILL NOT COMMENCE ANY ACTION, LITIGATION OR PROCEEDING OF ANY KIND OR DESCRIPTION, WHETHER IN LAW OR EQUITY, WHETHER IN CONTRACT OR IN TORT OR OTHERWISE, AGAINST LENDERS OR THE ADMINISTRATIVE AGENT IN ANY WAY RELATING TO THIS AGREEMENT OR ANY OTHER LOAN DOCUMENT OR THE TRANSACTIONS RELATING HERETO OR THERETO, IN ANY FORUM OTHER THAN THE COURTS OF THE STATE OF ARIZONA SITTING IN MARICOPA COUNTY, ARIZONA, AND OF THE UNITED STATES DISTRICT COURT FOR THE DISTRICT OF ARIZONA, PHOENIX DIVISION AND ANY APPELLATE COURT FROM ANY THEREOF, AND EACH OF THE PARTIES HERETO IRREVOCABLY AND UNCONDITIONALLY SUBMITS TO THE JURISDICTION OF SUCH COURTS AND AGREES THAT ALL CLAIMS IN RESPECT OF ANY SUCH ACTION, LITIGATION OR PROCEEDING MAY BE HEARD AND DETERMINED IN SUCH STATE COURT OR, TO THE FULLEST EXTENT PERMITTED BY APPLICABLE LAW, IN SUCH FEDERAL COURT. EACH OF THE PARTIES HERETO AGREES THAT A FINAL JUDGMENT IN ANY SUCH ACTION,</w:t>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98830"/>
                <wp:effectExtent l="0" t="0" r="0" b="0"/>
                <wp:wrapNone/>
                <wp:docPr id="113" name="Frame111"/>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102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102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19"/>
        <w:jc w:val="both"/>
        <w:rPr/>
      </w:pPr>
      <w:r>
        <w:rPr/>
      </w:r>
    </w:p>
    <w:p>
      <w:pPr>
        <w:pStyle w:val="TextBody"/>
        <w:bidi w:val="0"/>
        <w:spacing w:lineRule="auto" w:line="288" w:before="79" w:after="283"/>
        <w:jc w:val="both"/>
        <w:rPr>
          <w:rFonts w:ascii="Times New Roman;serif" w:hAnsi="Times New Roman;serif"/>
          <w:b/>
          <w:color w:val="000000"/>
          <w:sz w:val="22"/>
        </w:rPr>
      </w:pPr>
      <w:r>
        <w:rPr>
          <w:rFonts w:ascii="Times New Roman;serif" w:hAnsi="Times New Roman;serif"/>
          <w:b/>
          <w:color w:val="000000"/>
          <w:sz w:val="22"/>
        </w:rPr>
        <w:t>LITIGATION OR PROCEEDING SHALL BE CONCLUSIVE AND MAY BE ENFORCED IN OTHER JURISDICTIONS BY SUIT ON THE JUDGMENT OR IN ANY OTHER MANNER PROVIDED BY LAW. NOTHING IN THIS AGREEMENT OR IN ANY OTHER LOAN DOCUMENT SHALL AFFECT ANY RIGHT THAT THE ADMINISTRATIVE AGENT OR LENDERS MAY OTHERWISE HAVE TO BRING ANY ACTION OR PROCEEDING RELATING TO THIS AGREEMENT OR ANY OTHER LOAN DOCUMENT AGAINST THE BORROWER OR ITS PROPERTIES IN THE COURTS OF ANY JURISDICTION.</w:t>
      </w:r>
    </w:p>
    <w:p>
      <w:pPr>
        <w:pStyle w:val="TextBody"/>
        <w:bidi w:val="0"/>
        <w:spacing w:lineRule="auto" w:line="288" w:before="240" w:after="283"/>
        <w:ind w:left="0" w:right="0" w:firstLine="719"/>
        <w:jc w:val="both"/>
        <w:rPr/>
      </w:pPr>
      <w:r>
        <w:rPr>
          <w:rFonts w:ascii="Times New Roman;serif" w:hAnsi="Times New Roman;serif"/>
          <w:b w:val="false"/>
          <w:color w:val="000000"/>
          <w:sz w:val="22"/>
        </w:rPr>
        <w:t>1.2.</w:t>
      </w:r>
      <w:r>
        <w:rPr>
          <w:rFonts w:ascii="Times New Roman;serif" w:hAnsi="Times New Roman;serif"/>
          <w:b/>
          <w:color w:val="000000"/>
          <w:sz w:val="22"/>
          <w:u w:val="single"/>
        </w:rPr>
        <w:t>WAIVER OF JURY TRIAL</w:t>
      </w:r>
      <w:r>
        <w:rPr>
          <w:rFonts w:ascii="Times New Roman;serif" w:hAnsi="Times New Roman;serif"/>
          <w:b/>
          <w:color w:val="000000"/>
          <w:sz w:val="22"/>
        </w:rPr>
        <w:t>. THE BORROWER, THE ADMINISTRATIVE AGENT, THE LC ISSUER AND EACH LENDER HEREBY WAIVE TRIAL BY JURY IN ANY JUDICIAL PROCEEDING INVOLVING, DIRECTLY OR INDIRECTLY, ANY MATTER (WHETHER SOUNDING IN TORT, CONTRACT OR OTHERWISE) IN ANY WAY ARISING OUT OF, RELATED TO, OR CONNECTED WITH ANY LOAN DOCUMENT OR THE RELATIONSHIP ESTABLISHED THEREUNDER.</w:t>
      </w:r>
    </w:p>
    <w:p>
      <w:pPr>
        <w:pStyle w:val="TextBody"/>
        <w:bidi w:val="0"/>
        <w:spacing w:before="0" w:after="0"/>
        <w:jc w:val="left"/>
        <w:rPr/>
      </w:pPr>
      <w:r>
        <w:rPr/>
      </w:r>
    </w:p>
    <w:p>
      <w:pPr>
        <w:pStyle w:val="TextBody"/>
        <w:bidi w:val="0"/>
        <w:spacing w:before="230" w:after="283"/>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98830"/>
                <wp:effectExtent l="0" t="0" r="0" b="0"/>
                <wp:wrapNone/>
                <wp:docPr id="114" name="Frame112"/>
                <a:graphic xmlns:a="http://schemas.openxmlformats.org/drawingml/2006/main">
                  <a:graphicData uri="http://schemas.microsoft.com/office/word/2010/wordprocessingShape">
                    <wps:wsp>
                      <wps:cNvSpPr txBox="1"/>
                      <wps:spPr>
                        <a:xfrm>
                          <a:off x="0" y="0"/>
                          <a:ext cx="6480175" cy="798830"/>
                        </a:xfrm>
                        <a:prstGeom prst="rect"/>
                        <a:solidFill>
                          <a:srgbClr val="FFFFFF"/>
                        </a:solidFill>
                      </wps:spPr>
                      <wps:txb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103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9pt;mso-wrap-distance-left:0pt;mso-wrap-distance-right:0pt;mso-wrap-distance-top:0pt;mso-wrap-distance-bottom:0pt;margin-top:0pt;mso-position-vertical:top;mso-position-vertical-relative:text;margin-left:0pt;mso-position-horizontal:left;mso-position-horizontal-relative:text">
                <v:textbox>
                  <w:txbxContent>
                    <w:tbl>
                      <w:tblPr>
                        <w:tblW w:w="526" w:type="dxa"/>
                        <w:jc w:val="left"/>
                        <w:tblInd w:w="0" w:type="dxa"/>
                        <w:tblLayout w:type="fixed"/>
                        <w:tblCellMar>
                          <w:top w:w="28" w:type="dxa"/>
                          <w:left w:w="28" w:type="dxa"/>
                          <w:bottom w:w="28" w:type="dxa"/>
                          <w:right w:w="28" w:type="dxa"/>
                        </w:tblCellMar>
                      </w:tblPr>
                      <w:tblGrid>
                        <w:gridCol w:w="168"/>
                        <w:gridCol w:w="148"/>
                        <w:gridCol w:w="21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22"/>
                              </w:rPr>
                            </w:pPr>
                            <w:r>
                              <w:rPr>
                                <w:rFonts w:ascii="Times New Roman;serif" w:hAnsi="Times New Roman;serif"/>
                                <w:b w:val="false"/>
                                <w:color w:val="000000"/>
                                <w:sz w:val="22"/>
                              </w:rPr>
                              <w:t>103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97" w:before="78" w:after="283"/>
        <w:ind w:left="0" w:right="0" w:firstLine="726"/>
        <w:jc w:val="left"/>
        <w:rPr>
          <w:rFonts w:ascii="Times New Roman;serif" w:hAnsi="Times New Roman;serif"/>
          <w:b w:val="false"/>
          <w:color w:val="494949"/>
          <w:sz w:val="21"/>
        </w:rPr>
      </w:pPr>
      <w:r>
        <w:rPr>
          <w:rFonts w:ascii="Times New Roman;serif" w:hAnsi="Times New Roman;serif"/>
          <w:b w:val="false"/>
          <w:color w:val="494949"/>
          <w:sz w:val="21"/>
        </w:rPr>
        <w:t>IN WITNESS WHEREOF, the Borrower, the Lenders, the LC Issuer and the Administrative Agent have executed this Agreement as of the date first above written.</w:t>
      </w:r>
    </w:p>
    <w:p>
      <w:pPr>
        <w:pStyle w:val="TextBody"/>
        <w:bidi w:val="0"/>
        <w:spacing w:lineRule="atLeast" w:line="229" w:before="233" w:after="283"/>
        <w:jc w:val="left"/>
        <w:rPr>
          <w:rFonts w:ascii="Times New Roman;serif" w:hAnsi="Times New Roman;serif"/>
          <w:b w:val="false"/>
          <w:color w:val="494949"/>
          <w:sz w:val="21"/>
        </w:rPr>
      </w:pPr>
      <w:r>
        <w:rPr>
          <w:rFonts w:ascii="Times New Roman;serif" w:hAnsi="Times New Roman;serif"/>
          <w:b w:val="false"/>
          <w:color w:val="494949"/>
          <w:sz w:val="21"/>
        </w:rPr>
        <w:t>UNIVERSAL ELECTRONICS INC.</w:t>
      </w:r>
    </w:p>
    <w:p>
      <w:pPr>
        <w:pStyle w:val="TextBody"/>
        <w:bidi w:val="0"/>
        <w:spacing w:before="233" w:after="283"/>
        <w:jc w:val="left"/>
        <w:rPr/>
      </w:pPr>
      <w:r>
        <w:rPr/>
      </w:r>
    </w:p>
    <w:p>
      <w:pPr>
        <w:pStyle w:val="TextBody"/>
        <w:bidi w:val="0"/>
        <w:spacing w:before="233" w:after="283"/>
        <w:jc w:val="left"/>
        <w:rPr/>
      </w:pPr>
      <w:r>
        <w:rPr/>
        <w:drawing>
          <wp:inline distT="0" distB="0" distL="0" distR="0">
            <wp:extent cx="2609850" cy="685800"/>
            <wp:effectExtent l="0" t="0" r="0" b="0"/>
            <wp:docPr id="1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 descr=""/>
                    <pic:cNvPicPr>
                      <a:picLocks noChangeAspect="1" noChangeArrowheads="1"/>
                    </pic:cNvPicPr>
                  </pic:nvPicPr>
                  <pic:blipFill>
                    <a:blip r:embed="rId4"/>
                    <a:stretch>
                      <a:fillRect/>
                    </a:stretch>
                  </pic:blipFill>
                  <pic:spPr bwMode="auto">
                    <a:xfrm>
                      <a:off x="0" y="0"/>
                      <a:ext cx="2609850" cy="685800"/>
                    </a:xfrm>
                    <a:prstGeom prst="rect">
                      <a:avLst/>
                    </a:prstGeom>
                  </pic:spPr>
                </pic:pic>
              </a:graphicData>
            </a:graphic>
          </wp:inline>
        </w:drawing>
      </w:r>
    </w:p>
    <w:p>
      <w:pPr>
        <w:pStyle w:val="TextBody"/>
        <w:bidi w:val="0"/>
        <w:spacing w:before="0" w:after="0"/>
        <w:jc w:val="left"/>
        <w:rPr/>
      </w:pPr>
      <w:r>
        <w:rPr/>
      </w:r>
    </w:p>
    <w:p>
      <w:pPr>
        <w:pStyle w:val="TextBody"/>
        <w:bidi w:val="0"/>
        <w:spacing w:before="69" w:after="283"/>
        <w:jc w:val="left"/>
        <w:rPr/>
      </w:pPr>
      <w:r>
        <w:rPr/>
      </w:r>
    </w:p>
    <w:p>
      <w:pPr>
        <w:pStyle w:val="TextBody"/>
        <w:bidi w:val="0"/>
        <w:spacing w:before="69" w:after="283"/>
        <w:jc w:val="left"/>
        <w:rPr/>
      </w:pPr>
      <w:r>
        <w:rPr/>
      </w:r>
    </w:p>
    <w:p>
      <w:pPr>
        <w:pStyle w:val="TextBody"/>
        <w:bidi w:val="0"/>
        <w:spacing w:before="69" w:after="283"/>
        <w:jc w:val="left"/>
        <w:rPr/>
      </w:pPr>
      <w:r>
        <w:rPr/>
      </w:r>
    </w:p>
    <w:p>
      <w:pPr>
        <w:pStyle w:val="TextBody"/>
        <w:bidi w:val="0"/>
        <w:spacing w:lineRule="auto" w:line="288" w:before="0" w:after="0"/>
        <w:jc w:val="left"/>
        <w:rPr>
          <w:rFonts w:ascii="Times New Roman;serif" w:hAnsi="Times New Roman;serif"/>
          <w:b w:val="false"/>
          <w:color w:val="494949"/>
          <w:sz w:val="21"/>
        </w:rPr>
      </w:pPr>
      <w:r>
        <w:rPr>
          <w:rFonts w:ascii="Times New Roman;serif" w:hAnsi="Times New Roman;serif"/>
          <w:b w:val="false"/>
          <w:color w:val="494949"/>
          <w:sz w:val="21"/>
        </w:rPr>
        <w:t>U.S. BANK NATIONAL ASSOCIATION,</w:t>
      </w:r>
    </w:p>
    <w:p>
      <w:pPr>
        <w:pStyle w:val="TextBody"/>
        <w:bidi w:val="0"/>
        <w:spacing w:lineRule="auto" w:line="288" w:before="14" w:after="283"/>
        <w:jc w:val="left"/>
        <w:rPr>
          <w:rFonts w:ascii="Times New Roman;serif" w:hAnsi="Times New Roman;serif"/>
          <w:b w:val="false"/>
          <w:color w:val="494949"/>
          <w:sz w:val="21"/>
        </w:rPr>
      </w:pPr>
      <w:r>
        <w:rPr>
          <w:rFonts w:ascii="Times New Roman;serif" w:hAnsi="Times New Roman;serif"/>
          <w:b w:val="false"/>
          <w:color w:val="494949"/>
          <w:sz w:val="21"/>
        </w:rPr>
        <w:t>as a Lender, as LC Issuer and as Administrative Agent</w:t>
      </w:r>
    </w:p>
    <w:p>
      <w:pPr>
        <w:pStyle w:val="TextBody"/>
        <w:bidi w:val="0"/>
        <w:spacing w:before="0" w:after="0"/>
        <w:jc w:val="left"/>
        <w:rPr/>
      </w:pPr>
      <w:r>
        <w:rPr/>
      </w:r>
    </w:p>
    <w:p>
      <w:pPr>
        <w:pStyle w:val="TextBody"/>
        <w:bidi w:val="0"/>
        <w:spacing w:before="0" w:after="0"/>
        <w:jc w:val="left"/>
        <w:rPr/>
      </w:pPr>
      <w:r>
        <w:rPr/>
      </w:r>
    </w:p>
    <w:p>
      <w:pPr>
        <w:pStyle w:val="TextBody"/>
        <w:bidi w:val="0"/>
        <w:spacing w:before="32" w:after="283"/>
        <w:jc w:val="left"/>
        <w:rPr/>
      </w:pPr>
      <w:r>
        <w:rPr/>
      </w:r>
    </w:p>
    <w:p>
      <w:pPr>
        <w:pStyle w:val="TextBody"/>
        <w:bidi w:val="0"/>
        <w:spacing w:lineRule="auto" w:line="295" w:before="0" w:after="0"/>
        <w:ind w:left="0" w:right="0" w:firstLine="6"/>
        <w:jc w:val="left"/>
        <w:rPr/>
      </w:pPr>
      <w:r>
        <w:rPr>
          <w:rFonts w:ascii="Arial;sans-serif" w:hAnsi="Arial;sans-serif"/>
          <w:b w:val="false"/>
          <w:color w:val="494949"/>
          <w:sz w:val="20"/>
        </w:rPr>
        <w:t xml:space="preserve">By: </w:t>
      </w:r>
      <w:r>
        <w:rPr>
          <w:color w:val="494949"/>
          <w:u w:val="single"/>
        </w:rPr>
        <w:t>            </w:t>
      </w:r>
      <w:r>
        <w:rPr>
          <w:color w:val="494949"/>
        </w:rPr>
        <w:t xml:space="preserve"> </w:t>
      </w:r>
      <w:r>
        <w:rPr>
          <w:rFonts w:ascii="Times New Roman;serif" w:hAnsi="Times New Roman;serif"/>
          <w:b w:val="false"/>
          <w:color w:val="494949"/>
          <w:sz w:val="21"/>
        </w:rPr>
        <w:t xml:space="preserve">Name: </w:t>
      </w:r>
      <w:r>
        <w:rPr>
          <w:color w:val="494949"/>
          <w:u w:val="single"/>
        </w:rPr>
        <w:t>    </w:t>
      </w:r>
      <w:r>
        <w:rPr>
          <w:color w:val="494949"/>
        </w:rPr>
        <w:t xml:space="preserve"> </w:t>
      </w:r>
      <w:r>
        <w:rPr>
          <w:rFonts w:ascii="Times New Roman;serif" w:hAnsi="Times New Roman;serif"/>
          <w:b w:val="false"/>
          <w:color w:val="494949"/>
          <w:sz w:val="21"/>
        </w:rPr>
        <w:t xml:space="preserve">Title: </w:t>
      </w:r>
      <w:r>
        <w:rPr>
          <w:color w:val="494949"/>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38555"/>
                <wp:effectExtent l="0" t="0" r="0" b="0"/>
                <wp:wrapNone/>
                <wp:docPr id="116" name="Frame113"/>
                <a:graphic xmlns:a="http://schemas.openxmlformats.org/drawingml/2006/main">
                  <a:graphicData uri="http://schemas.microsoft.com/office/word/2010/wordprocessingShape">
                    <wps:wsp>
                      <wps:cNvSpPr txBox="1"/>
                      <wps:spPr>
                        <a:xfrm>
                          <a:off x="0" y="0"/>
                          <a:ext cx="6480175" cy="1138555"/>
                        </a:xfrm>
                        <a:prstGeom prst="rect"/>
                        <a:solidFill>
                          <a:srgbClr val="FFFFFF"/>
                        </a:solidFill>
                      </wps:spPr>
                      <wps:txbx>
                        <w:txbxContent>
                          <w:tbl>
                            <w:tblPr>
                              <w:tblW w:w="6330" w:type="dxa"/>
                              <w:jc w:val="left"/>
                              <w:tblInd w:w="0" w:type="dxa"/>
                              <w:tblLayout w:type="fixed"/>
                              <w:tblCellMar>
                                <w:top w:w="28" w:type="dxa"/>
                                <w:left w:w="28" w:type="dxa"/>
                                <w:bottom w:w="28" w:type="dxa"/>
                                <w:right w:w="28" w:type="dxa"/>
                              </w:tblCellMar>
                            </w:tblPr>
                            <w:tblGrid>
                              <w:gridCol w:w="2025"/>
                              <w:gridCol w:w="1781"/>
                              <w:gridCol w:w="2524"/>
                            </w:tblGrid>
                            <w:tr>
                              <w:trPr/>
                              <w:tc>
                                <w:tcPr>
                                  <w:tcW w:w="2025" w:type="dxa"/>
                                  <w:tcBorders/>
                                  <w:vAlign w:val="center"/>
                                </w:tcPr>
                                <w:p>
                                  <w:pPr>
                                    <w:pStyle w:val="TableContents"/>
                                    <w:bidi w:val="0"/>
                                    <w:spacing w:before="0" w:after="283"/>
                                    <w:jc w:val="left"/>
                                    <w:rPr>
                                      <w:sz w:val="4"/>
                                      <w:szCs w:val="4"/>
                                    </w:rPr>
                                  </w:pPr>
                                  <w:r>
                                    <w:rPr>
                                      <w:sz w:val="4"/>
                                      <w:szCs w:val="4"/>
                                    </w:rPr>
                                  </w:r>
                                  <w:r>
                                    <w:br w:type="page"/>
                                  </w:r>
                                </w:p>
                              </w:tc>
                              <w:tc>
                                <w:tcPr>
                                  <w:tcW w:w="1781"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11" w:after="283"/>
                                    <w:jc w:val="center"/>
                                    <w:rPr>
                                      <w:rFonts w:ascii="Times New Roman;serif" w:hAnsi="Times New Roman;serif"/>
                                      <w:b w:val="false"/>
                                      <w:i/>
                                      <w:color w:val="494949"/>
                                      <w:sz w:val="20"/>
                                    </w:rPr>
                                  </w:pPr>
                                  <w:r>
                                    <w:rPr>
                                      <w:rFonts w:ascii="Times New Roman;serif" w:hAnsi="Times New Roman;serif"/>
                                      <w:b w:val="false"/>
                                      <w:i/>
                                      <w:color w:val="494949"/>
                                      <w:sz w:val="20"/>
                                    </w:rPr>
                                    <w:t>Signature Page to</w:t>
                                  </w:r>
                                </w:p>
                                <w:p>
                                  <w:pPr>
                                    <w:pStyle w:val="TableContents"/>
                                    <w:bidi w:val="0"/>
                                    <w:spacing w:lineRule="auto" w:line="288" w:before="1" w:after="283"/>
                                    <w:jc w:val="center"/>
                                    <w:rPr>
                                      <w:rFonts w:ascii="Times New Roman;serif" w:hAnsi="Times New Roman;serif"/>
                                      <w:b w:val="false"/>
                                      <w:i/>
                                      <w:color w:val="494949"/>
                                      <w:sz w:val="20"/>
                                    </w:rPr>
                                  </w:pPr>
                                  <w:r>
                                    <w:rPr>
                                      <w:rFonts w:ascii="Times New Roman;serif" w:hAnsi="Times New Roman;serif"/>
                                      <w:b w:val="false"/>
                                      <w:i/>
                                      <w:color w:val="494949"/>
                                      <w:sz w:val="20"/>
                                    </w:rPr>
                                    <w:t>Third Amended and Restated Credit Agreement (Universal Electronics,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65pt;mso-wrap-distance-left:0pt;mso-wrap-distance-right:0pt;mso-wrap-distance-top:0pt;mso-wrap-distance-bottom:0pt;margin-top:0pt;mso-position-vertical:top;mso-position-vertical-relative:text;margin-left:0pt;mso-position-horizontal:left;mso-position-horizontal-relative:text">
                <v:textbox>
                  <w:txbxContent>
                    <w:tbl>
                      <w:tblPr>
                        <w:tblW w:w="6330" w:type="dxa"/>
                        <w:jc w:val="left"/>
                        <w:tblInd w:w="0" w:type="dxa"/>
                        <w:tblLayout w:type="fixed"/>
                        <w:tblCellMar>
                          <w:top w:w="28" w:type="dxa"/>
                          <w:left w:w="28" w:type="dxa"/>
                          <w:bottom w:w="28" w:type="dxa"/>
                          <w:right w:w="28" w:type="dxa"/>
                        </w:tblCellMar>
                      </w:tblPr>
                      <w:tblGrid>
                        <w:gridCol w:w="2025"/>
                        <w:gridCol w:w="1781"/>
                        <w:gridCol w:w="2524"/>
                      </w:tblGrid>
                      <w:tr>
                        <w:trPr/>
                        <w:tc>
                          <w:tcPr>
                            <w:tcW w:w="2025"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11" w:after="283"/>
                              <w:jc w:val="center"/>
                              <w:rPr>
                                <w:rFonts w:ascii="Times New Roman;serif" w:hAnsi="Times New Roman;serif"/>
                                <w:b w:val="false"/>
                                <w:i/>
                                <w:color w:val="494949"/>
                                <w:sz w:val="20"/>
                              </w:rPr>
                            </w:pPr>
                            <w:r>
                              <w:rPr>
                                <w:rFonts w:ascii="Times New Roman;serif" w:hAnsi="Times New Roman;serif"/>
                                <w:b w:val="false"/>
                                <w:i/>
                                <w:color w:val="494949"/>
                                <w:sz w:val="20"/>
                              </w:rPr>
                              <w:t>Signature Page to</w:t>
                            </w:r>
                          </w:p>
                          <w:p>
                            <w:pPr>
                              <w:pStyle w:val="TableContents"/>
                              <w:bidi w:val="0"/>
                              <w:spacing w:lineRule="auto" w:line="288" w:before="1" w:after="283"/>
                              <w:jc w:val="center"/>
                              <w:rPr>
                                <w:rFonts w:ascii="Times New Roman;serif" w:hAnsi="Times New Roman;serif"/>
                                <w:b w:val="false"/>
                                <w:i/>
                                <w:color w:val="494949"/>
                                <w:sz w:val="20"/>
                              </w:rPr>
                            </w:pPr>
                            <w:r>
                              <w:rPr>
                                <w:rFonts w:ascii="Times New Roman;serif" w:hAnsi="Times New Roman;serif"/>
                                <w:b w:val="false"/>
                                <w:i/>
                                <w:color w:val="494949"/>
                                <w:sz w:val="20"/>
                              </w:rPr>
                              <w:t>Third Amended and Restated Credit Agreement (Universal Electronics,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9" w:after="283"/>
        <w:ind w:left="0" w:right="0" w:firstLine="688"/>
        <w:jc w:val="left"/>
        <w:rPr>
          <w:rFonts w:ascii="Times New Roman;serif" w:hAnsi="Times New Roman;serif"/>
          <w:b w:val="false"/>
          <w:color w:val="000000"/>
          <w:sz w:val="20"/>
        </w:rPr>
      </w:pPr>
      <w:r>
        <w:rPr>
          <w:rFonts w:ascii="Times New Roman;serif" w:hAnsi="Times New Roman;serif"/>
          <w:b w:val="false"/>
          <w:color w:val="000000"/>
          <w:sz w:val="20"/>
        </w:rPr>
        <w:t>IN WITNESS WHEREOF, the Borrower, the Lenders, the LC Issuer and the Administrative Agent have executed this Agreement as of the date first above written.</w:t>
      </w:r>
    </w:p>
    <w:p>
      <w:pPr>
        <w:pStyle w:val="TextBody"/>
        <w:bidi w:val="0"/>
        <w:spacing w:before="31"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UNIVERSAL ELECTRONICS INC.</w:t>
      </w:r>
    </w:p>
    <w:p>
      <w:pPr>
        <w:pStyle w:val="TextBody"/>
        <w:bidi w:val="0"/>
        <w:spacing w:before="0" w:after="0"/>
        <w:jc w:val="left"/>
        <w:rPr/>
      </w:pPr>
      <w:r>
        <w:rPr/>
      </w:r>
    </w:p>
    <w:p>
      <w:pPr>
        <w:pStyle w:val="TextBody"/>
        <w:bidi w:val="0"/>
        <w:spacing w:before="35" w:after="283"/>
        <w:jc w:val="left"/>
        <w:rPr/>
      </w:pPr>
      <w:r>
        <w:rPr/>
      </w:r>
    </w:p>
    <w:p>
      <w:pPr>
        <w:pStyle w:val="TextBody"/>
        <w:bidi w:val="0"/>
        <w:spacing w:lineRule="auto" w:line="288" w:before="0" w:after="0"/>
        <w:ind w:left="0" w:right="0" w:firstLine="3"/>
        <w:jc w:val="left"/>
        <w:rPr/>
      </w:pPr>
      <w:r>
        <w:rPr>
          <w:rFonts w:ascii="Times New Roman;serif" w:hAnsi="Times New Roman;serif"/>
          <w:b w:val="false"/>
          <w:color w:val="000000"/>
          <w:sz w:val="20"/>
        </w:rPr>
        <w:t xml:space="preserve">By: </w:t>
      </w:r>
      <w:r>
        <w:rPr>
          <w:color w:val="000000"/>
          <w:u w:val="single"/>
        </w:rPr>
        <w:t>        </w:t>
      </w:r>
      <w:r>
        <w:rPr>
          <w:color w:val="000000"/>
        </w:rPr>
        <w:t xml:space="preserve"> </w:t>
      </w:r>
      <w:r>
        <w:rPr>
          <w:rFonts w:ascii="Times New Roman;serif" w:hAnsi="Times New Roman;serif"/>
          <w:b w:val="false"/>
          <w:color w:val="000000"/>
          <w:sz w:val="20"/>
        </w:rPr>
        <w:t xml:space="preserve">Name: </w:t>
      </w:r>
      <w:r>
        <w:rPr>
          <w:color w:val="000000"/>
          <w:u w:val="single"/>
        </w:rPr>
        <w:t>    </w:t>
      </w:r>
      <w:r>
        <w:rPr>
          <w:color w:val="000000"/>
        </w:rPr>
        <w:t xml:space="preserve"> </w:t>
      </w:r>
      <w:r>
        <w:rPr>
          <w:rFonts w:ascii="Times New Roman;serif" w:hAnsi="Times New Roman;serif"/>
          <w:b w:val="false"/>
          <w:color w:val="000000"/>
          <w:sz w:val="20"/>
        </w:rPr>
        <w:t xml:space="preserve">Title: </w:t>
      </w:r>
      <w:r>
        <w:rPr>
          <w:color w:val="000000"/>
          <w:u w:val="single"/>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7" w:after="283"/>
        <w:jc w:val="left"/>
        <w:rPr/>
      </w:pPr>
      <w:r>
        <w:rPr/>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U.S. BANK NATIONAL ASSOCIATION,</w:t>
      </w:r>
    </w:p>
    <w:p>
      <w:pPr>
        <w:pStyle w:val="TextBody"/>
        <w:bidi w:val="0"/>
        <w:spacing w:lineRule="auto" w:line="288" w:before="14" w:after="283"/>
        <w:jc w:val="left"/>
        <w:rPr>
          <w:rFonts w:ascii="Times New Roman;serif" w:hAnsi="Times New Roman;serif"/>
          <w:b w:val="false"/>
          <w:color w:val="000000"/>
          <w:sz w:val="20"/>
        </w:rPr>
      </w:pPr>
      <w:r>
        <w:rPr>
          <w:rFonts w:ascii="Times New Roman;serif" w:hAnsi="Times New Roman;serif"/>
          <w:b w:val="false"/>
          <w:color w:val="000000"/>
          <w:sz w:val="20"/>
        </w:rPr>
        <w:t>as a Lender, as LC Issuer and as Administrative Agent</w:t>
      </w:r>
    </w:p>
    <w:p>
      <w:pPr>
        <w:pStyle w:val="TextBody"/>
        <w:bidi w:val="0"/>
        <w:spacing w:before="6" w:after="283"/>
        <w:jc w:val="left"/>
        <w:rPr/>
      </w:pPr>
      <w:r>
        <w:rPr/>
        <w:drawing>
          <wp:inline distT="0" distB="0" distL="0" distR="0">
            <wp:extent cx="2466975" cy="742950"/>
            <wp:effectExtent l="0" t="0" r="0" b="0"/>
            <wp:docPr id="1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 descr=""/>
                    <pic:cNvPicPr>
                      <a:picLocks noChangeAspect="1" noChangeArrowheads="1"/>
                    </pic:cNvPicPr>
                  </pic:nvPicPr>
                  <pic:blipFill>
                    <a:blip r:embed="rId5"/>
                    <a:stretch>
                      <a:fillRect/>
                    </a:stretch>
                  </pic:blipFill>
                  <pic:spPr bwMode="auto">
                    <a:xfrm>
                      <a:off x="0" y="0"/>
                      <a:ext cx="2466975" cy="74295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23950"/>
                <wp:effectExtent l="0" t="0" r="0" b="0"/>
                <wp:wrapNone/>
                <wp:docPr id="118" name="Frame114"/>
                <a:graphic xmlns:a="http://schemas.openxmlformats.org/drawingml/2006/main">
                  <a:graphicData uri="http://schemas.microsoft.com/office/word/2010/wordprocessingShape">
                    <wps:wsp>
                      <wps:cNvSpPr txBox="1"/>
                      <wps:spPr>
                        <a:xfrm>
                          <a:off x="0" y="0"/>
                          <a:ext cx="6480175" cy="1123950"/>
                        </a:xfrm>
                        <a:prstGeom prst="rect"/>
                        <a:solidFill>
                          <a:srgbClr val="FFFFFF"/>
                        </a:solidFill>
                      </wps:spPr>
                      <wps:txbx>
                        <w:txbxContent>
                          <w:tbl>
                            <w:tblPr>
                              <w:tblW w:w="6330" w:type="dxa"/>
                              <w:jc w:val="left"/>
                              <w:tblInd w:w="0" w:type="dxa"/>
                              <w:tblLayout w:type="fixed"/>
                              <w:tblCellMar>
                                <w:top w:w="28" w:type="dxa"/>
                                <w:left w:w="28" w:type="dxa"/>
                                <w:bottom w:w="28" w:type="dxa"/>
                                <w:right w:w="28" w:type="dxa"/>
                              </w:tblCellMar>
                            </w:tblPr>
                            <w:tblGrid>
                              <w:gridCol w:w="2025"/>
                              <w:gridCol w:w="1781"/>
                              <w:gridCol w:w="2524"/>
                            </w:tblGrid>
                            <w:tr>
                              <w:trPr/>
                              <w:tc>
                                <w:tcPr>
                                  <w:tcW w:w="2025" w:type="dxa"/>
                                  <w:tcBorders/>
                                  <w:vAlign w:val="center"/>
                                </w:tcPr>
                                <w:p>
                                  <w:pPr>
                                    <w:pStyle w:val="TableContents"/>
                                    <w:bidi w:val="0"/>
                                    <w:spacing w:before="0" w:after="283"/>
                                    <w:jc w:val="left"/>
                                    <w:rPr>
                                      <w:sz w:val="4"/>
                                      <w:szCs w:val="4"/>
                                    </w:rPr>
                                  </w:pPr>
                                  <w:r>
                                    <w:rPr>
                                      <w:sz w:val="4"/>
                                      <w:szCs w:val="4"/>
                                    </w:rPr>
                                  </w:r>
                                  <w:r>
                                    <w:br w:type="page"/>
                                  </w:r>
                                </w:p>
                              </w:tc>
                              <w:tc>
                                <w:tcPr>
                                  <w:tcW w:w="1781"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12" w:after="283"/>
                                    <w:jc w:val="center"/>
                                    <w:rPr>
                                      <w:rFonts w:ascii="Times New Roman;serif" w:hAnsi="Times New Roman;serif"/>
                                      <w:b w:val="false"/>
                                      <w:i/>
                                      <w:color w:val="000000"/>
                                      <w:sz w:val="19"/>
                                    </w:rPr>
                                  </w:pPr>
                                  <w:r>
                                    <w:rPr>
                                      <w:rFonts w:ascii="Times New Roman;serif" w:hAnsi="Times New Roman;serif"/>
                                      <w:b w:val="false"/>
                                      <w:i/>
                                      <w:color w:val="000000"/>
                                      <w:sz w:val="19"/>
                                    </w:rPr>
                                    <w:t>Signature Page to</w:t>
                                  </w:r>
                                </w:p>
                                <w:p>
                                  <w:pPr>
                                    <w:pStyle w:val="TableContents"/>
                                    <w:bidi w:val="0"/>
                                    <w:spacing w:lineRule="auto" w:line="288" w:before="7" w:after="283"/>
                                    <w:jc w:val="center"/>
                                    <w:rPr>
                                      <w:rFonts w:ascii="Times New Roman;serif" w:hAnsi="Times New Roman;serif"/>
                                      <w:b w:val="false"/>
                                      <w:i/>
                                      <w:color w:val="000000"/>
                                      <w:sz w:val="19"/>
                                    </w:rPr>
                                  </w:pPr>
                                  <w:r>
                                    <w:rPr>
                                      <w:rFonts w:ascii="Times New Roman;serif" w:hAnsi="Times New Roman;serif"/>
                                      <w:b w:val="false"/>
                                      <w:i/>
                                      <w:color w:val="000000"/>
                                      <w:sz w:val="19"/>
                                    </w:rPr>
                                    <w:t>Third Amended and Restated Credit Agreement (Universal Electronics,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5pt;mso-wrap-distance-left:0pt;mso-wrap-distance-right:0pt;mso-wrap-distance-top:0pt;mso-wrap-distance-bottom:0pt;margin-top:0pt;mso-position-vertical:top;mso-position-vertical-relative:text;margin-left:0pt;mso-position-horizontal:left;mso-position-horizontal-relative:text">
                <v:textbox>
                  <w:txbxContent>
                    <w:tbl>
                      <w:tblPr>
                        <w:tblW w:w="6330" w:type="dxa"/>
                        <w:jc w:val="left"/>
                        <w:tblInd w:w="0" w:type="dxa"/>
                        <w:tblLayout w:type="fixed"/>
                        <w:tblCellMar>
                          <w:top w:w="28" w:type="dxa"/>
                          <w:left w:w="28" w:type="dxa"/>
                          <w:bottom w:w="28" w:type="dxa"/>
                          <w:right w:w="28" w:type="dxa"/>
                        </w:tblCellMar>
                      </w:tblPr>
                      <w:tblGrid>
                        <w:gridCol w:w="2025"/>
                        <w:gridCol w:w="1781"/>
                        <w:gridCol w:w="2524"/>
                      </w:tblGrid>
                      <w:tr>
                        <w:trPr/>
                        <w:tc>
                          <w:tcPr>
                            <w:tcW w:w="2025"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12" w:after="283"/>
                              <w:jc w:val="center"/>
                              <w:rPr>
                                <w:rFonts w:ascii="Times New Roman;serif" w:hAnsi="Times New Roman;serif"/>
                                <w:b w:val="false"/>
                                <w:i/>
                                <w:color w:val="000000"/>
                                <w:sz w:val="19"/>
                              </w:rPr>
                            </w:pPr>
                            <w:r>
                              <w:rPr>
                                <w:rFonts w:ascii="Times New Roman;serif" w:hAnsi="Times New Roman;serif"/>
                                <w:b w:val="false"/>
                                <w:i/>
                                <w:color w:val="000000"/>
                                <w:sz w:val="19"/>
                              </w:rPr>
                              <w:t>Signature Page to</w:t>
                            </w:r>
                          </w:p>
                          <w:p>
                            <w:pPr>
                              <w:pStyle w:val="TableContents"/>
                              <w:bidi w:val="0"/>
                              <w:spacing w:lineRule="auto" w:line="288" w:before="7" w:after="283"/>
                              <w:jc w:val="center"/>
                              <w:rPr>
                                <w:rFonts w:ascii="Times New Roman;serif" w:hAnsi="Times New Roman;serif"/>
                                <w:b w:val="false"/>
                                <w:i/>
                                <w:color w:val="000000"/>
                                <w:sz w:val="19"/>
                              </w:rPr>
                            </w:pPr>
                            <w:r>
                              <w:rPr>
                                <w:rFonts w:ascii="Times New Roman;serif" w:hAnsi="Times New Roman;serif"/>
                                <w:b w:val="false"/>
                                <w:i/>
                                <w:color w:val="000000"/>
                                <w:sz w:val="19"/>
                              </w:rPr>
                              <w:t>Third Amended and Restated Credit Agreement (Universal Electronics, Inc.)</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118</Pages>
  <Words>51519</Words>
  <Characters>274781</Characters>
  <CharactersWithSpaces>325663</CharactersWithSpaces>
  <Paragraphs>1209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