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6993255" cy="53949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5394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6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6"/>
                </w:rPr>
                <w:t>MUTCH JOHN</w:t>
              </w:r>
            </w:hyperlink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11"/>
          </w:tcPr>
          <w:p>
            <w:pPr>
              <w:ind w:left="60"/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UNIVERSAL ELECTRONICS INC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UEIC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]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15147 N SCOTTSDALE RD STE H300</w:t>
            </w:r>
          </w:p>
        </w:tc>
        <w:tc>
          <w:tcPr>
            <w:tcW w:w="164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05/19/2026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SCOTTSDALE  AZ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85254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8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8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John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Mutch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  <w:vMerge w:val="restart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05/19/2026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18,437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23,574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Sole and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Separate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Property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300" w:type="dxa"/>
            <w:vAlign w:val="bottom"/>
            <w:gridSpan w:val="20"/>
          </w:tcPr>
          <w:p>
            <w:pPr>
              <w:ind w:left="10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17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of 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7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7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2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7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18,437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05/19/2026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20" w:type="dxa"/>
            <w:vAlign w:val="bottom"/>
          </w:tcPr>
          <w:p>
            <w:pPr>
              <w:ind w:left="4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18,437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60" w:type="dxa"/>
            <w:vAlign w:val="bottom"/>
          </w:tcPr>
          <w:p>
            <w:pPr>
              <w:ind w:left="3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-2012315</wp:posOffset>
            </wp:positionV>
            <wp:extent cx="29210" cy="20173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17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UEI common stock.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shares are held by the John Mutch Sole and Separate Property Trust. Mr. Mutch disclaims beneficial ownership of the shares.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40" w:firstLine="2"/>
        <w:spacing w:after="0" w:line="256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July 1, 2025, the reporting person was granted 18,437 restricted stock units, with 100% vesting upon the earlier of (i) one year following the date of grant and (ii) immediately prior to the Company's next annual meeting of stockholders.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8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/s/John Mutch, by Bryan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-8890</wp:posOffset>
            </wp:positionV>
            <wp:extent cx="105410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41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Allison, pursuant to Limited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-15875</wp:posOffset>
            </wp:positionV>
            <wp:extent cx="12077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77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Power of Attorney dated April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-8890</wp:posOffset>
            </wp:positionV>
            <wp:extent cx="130238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23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17, 2025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-15875</wp:posOffset>
            </wp:positionV>
            <wp:extent cx="37274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7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05/21/2026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-2540</wp:posOffset>
            </wp:positionH>
            <wp:positionV relativeFrom="paragraph">
              <wp:posOffset>-1905</wp:posOffset>
            </wp:positionV>
            <wp:extent cx="485775" cy="825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660" w:space="140"/>
            <w:col w:w="2280"/>
          </w:cols>
          <w:pgMar w:left="460" w:top="217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20" Type="http://schemas.openxmlformats.org/officeDocument/2006/relationships/image" Target="media/image11.png"/><Relationship Id="rId13" Type="http://schemas.openxmlformats.org/officeDocument/2006/relationships/hyperlink" Target="http://www.sec.gov/cgi-bin/browse-edgar?action=getcompany&amp;CIK=0001228146" TargetMode="External"/><Relationship Id="rId14" Type="http://schemas.openxmlformats.org/officeDocument/2006/relationships/hyperlink" Target="http://www.sec.gov/cgi-bin/browse-edgar?action=getcompany&amp;CIK=000010198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2026-05-21T17:08:46Z</dcterms:created>
  <dcterms:modified xsi:type="dcterms:W3CDTF">2026-05-21T17:08:46Z</dcterms:modified>
</cp:coreProperties>
</file>