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May 26, 2026</w:t>
      </w:r>
    </w:p>
    <w:p>
      <w:pPr>
        <w:spacing w:after="0" w:line="6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UNIVERSAL ELECTRONICS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600" w:type="dxa"/>
        <w:tblCellMar>
          <w:top w:w="0" w:type="dxa"/>
          <w:left w:w="0" w:type="dxa"/>
          <w:bottom w:w="0" w:type="dxa"/>
          <w:right w:w="0" w:type="dxa"/>
        </w:tblCellMar>
      </w:tblPr>
      <w:tr>
        <w:trPr>
          <w:trHeight w:val="227"/>
        </w:trPr>
        <w:tc>
          <w:tcPr>
            <w:tcW w:w="53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c>
          <w:tcPr>
            <w:tcW w:w="36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8"/>
              </w:rPr>
              <w:t>33-0204817</w:t>
            </w:r>
          </w:p>
        </w:tc>
      </w:tr>
      <w:tr>
        <w:trPr>
          <w:trHeight w:val="233"/>
        </w:trPr>
        <w:tc>
          <w:tcPr>
            <w:tcW w:w="534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6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89"/>
        </w:trPr>
        <w:tc>
          <w:tcPr>
            <w:tcW w:w="534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8"/>
              </w:rPr>
              <w:t>15147 N. Scottsdale Road, Suite H300</w:t>
            </w:r>
          </w:p>
        </w:tc>
        <w:tc>
          <w:tcPr>
            <w:tcW w:w="36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8"/>
              </w:rPr>
              <w:t>85254-2494</w:t>
            </w:r>
          </w:p>
        </w:tc>
      </w:tr>
      <w:tr>
        <w:trPr>
          <w:trHeight w:val="227"/>
        </w:trPr>
        <w:tc>
          <w:tcPr>
            <w:tcW w:w="534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7"/>
              </w:rPr>
              <w:t>Scottsdale, Arizona</w:t>
            </w:r>
          </w:p>
        </w:tc>
        <w:tc>
          <w:tcPr>
            <w:tcW w:w="36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233"/>
        </w:trPr>
        <w:tc>
          <w:tcPr>
            <w:tcW w:w="534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640" w:type="dxa"/>
            <w:vAlign w:val="bottom"/>
          </w:tcPr>
          <w:p>
            <w:pPr>
              <w:spacing w:after="0"/>
              <w:rPr>
                <w:sz w:val="20"/>
                <w:szCs w:val="20"/>
                <w:color w:val="auto"/>
              </w:rPr>
            </w:pPr>
          </w:p>
        </w:tc>
      </w:tr>
    </w:tbl>
    <w:p>
      <w:pPr>
        <w:spacing w:after="0" w:line="302" w:lineRule="exact"/>
        <w:rPr>
          <w:sz w:val="24"/>
          <w:szCs w:val="24"/>
          <w:color w:val="auto"/>
        </w:rPr>
      </w:pPr>
    </w:p>
    <w:p>
      <w:pPr>
        <w:jc w:val="center"/>
        <w:ind w:left="340" w:right="20"/>
        <w:spacing w:after="0" w:line="248" w:lineRule="auto"/>
        <w:rPr>
          <w:sz w:val="20"/>
          <w:szCs w:val="20"/>
          <w:color w:val="auto"/>
        </w:rPr>
      </w:pPr>
      <w:r>
        <w:rPr>
          <w:rFonts w:ascii="Times New Roman" w:cs="Times New Roman" w:eastAsia="Times New Roman" w:hAnsi="Times New Roman"/>
          <w:sz w:val="21"/>
          <w:szCs w:val="21"/>
          <w:b w:val="1"/>
          <w:bCs w:val="1"/>
          <w:color w:val="auto"/>
        </w:rPr>
        <w:t>UNIVERSAL ELECTRONICS INC. AMENDED AND RESTATED 2018 EQUITY AND INCENTIVE COMPENSATION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Ryan Hochgesang</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Vice President, General Counsel and Corporate Secretar</w:t>
      </w:r>
      <w:r>
        <w:rPr>
          <w:rFonts w:ascii="Times New Roman" w:cs="Times New Roman" w:eastAsia="Times New Roman" w:hAnsi="Times New Roman"/>
          <w:sz w:val="16"/>
          <w:szCs w:val="16"/>
          <w:color w:val="auto"/>
        </w:rPr>
        <w:t>y</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4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15147 N. Scottsdale Road, Suite H300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Scottsdale, Arizona 85254-2494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(480) 530-3000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Copy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J. Masetti</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Julie Park</w:t>
      </w:r>
    </w:p>
    <w:p>
      <w:pPr>
        <w:jc w:val="center"/>
        <w:spacing w:after="0" w:line="232" w:lineRule="auto"/>
        <w:rPr>
          <w:sz w:val="20"/>
          <w:szCs w:val="20"/>
          <w:color w:val="auto"/>
        </w:rPr>
      </w:pPr>
      <w:r>
        <w:rPr>
          <w:rFonts w:ascii="Times New Roman" w:cs="Times New Roman" w:eastAsia="Times New Roman" w:hAnsi="Times New Roman"/>
          <w:sz w:val="18"/>
          <w:szCs w:val="18"/>
          <w:color w:val="auto"/>
        </w:rPr>
        <w:t>Pillsbury Winthrop Shaw Pittman LLP</w:t>
      </w:r>
    </w:p>
    <w:p>
      <w:pPr>
        <w:jc w:val="center"/>
        <w:spacing w:after="0"/>
        <w:rPr>
          <w:sz w:val="20"/>
          <w:szCs w:val="20"/>
          <w:color w:val="auto"/>
        </w:rPr>
      </w:pPr>
      <w:r>
        <w:rPr>
          <w:rFonts w:ascii="Times New Roman" w:cs="Times New Roman" w:eastAsia="Times New Roman" w:hAnsi="Times New Roman"/>
          <w:sz w:val="18"/>
          <w:szCs w:val="18"/>
          <w:color w:val="auto"/>
        </w:rPr>
        <w:t>2400 Hanover Street Palo Alto, CA 94304 (650) 233-4500</w:t>
      </w:r>
    </w:p>
    <w:p>
      <w:pPr>
        <w:spacing w:after="0" w:line="334"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9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0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Accelerated filer</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080" w:type="dxa"/>
            <w:vAlign w:val="bottom"/>
          </w:tcPr>
          <w:p>
            <w:pPr>
              <w:spacing w:after="0"/>
              <w:rPr>
                <w:sz w:val="24"/>
                <w:szCs w:val="24"/>
                <w:color w:val="auto"/>
              </w:rPr>
            </w:pPr>
          </w:p>
        </w:tc>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1"/>
        </w:trPr>
        <w:tc>
          <w:tcPr>
            <w:tcW w:w="18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9"/>
        </w:trPr>
        <w:tc>
          <w:tcPr>
            <w:tcW w:w="1086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18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7(a)(2)(B) of the Securities Act.</w:t>
            </w:r>
          </w:p>
        </w:tc>
        <w:tc>
          <w:tcPr>
            <w:tcW w:w="2900" w:type="dxa"/>
            <w:vAlign w:val="bottom"/>
          </w:tcPr>
          <w:p>
            <w:pPr>
              <w:spacing w:after="0"/>
              <w:rPr>
                <w:sz w:val="23"/>
                <w:szCs w:val="23"/>
                <w:color w:val="auto"/>
              </w:rPr>
            </w:pPr>
          </w:p>
        </w:tc>
        <w:tc>
          <w:tcPr>
            <w:tcW w:w="1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9" w:right="339" w:bottom="1440" w:gutter="0" w:footer="0" w:header="0"/>
        </w:sectPr>
      </w:pPr>
    </w:p>
    <w:bookmarkStart w:id="1" w:name="page2"/>
    <w:bookmarkEnd w:id="1"/>
    <w:p>
      <w:pPr>
        <w:ind w:left="2860"/>
        <w:spacing w:after="0"/>
        <w:rPr>
          <w:sz w:val="20"/>
          <w:szCs w:val="20"/>
          <w:color w:val="auto"/>
        </w:rPr>
      </w:pPr>
      <w:r>
        <w:rPr>
          <w:rFonts w:ascii="Times New Roman" w:cs="Times New Roman" w:eastAsia="Times New Roman" w:hAnsi="Times New Roman"/>
          <w:sz w:val="18"/>
          <w:szCs w:val="18"/>
          <w:b w:val="1"/>
          <w:bCs w:val="1"/>
          <w:color w:val="auto"/>
        </w:rPr>
        <w:t>PART I. INFORMATION REQUIRED IN THE SECTION 10(A) PROSPECTUS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INFORMATION REQUIRED IN THE SECTION 10(a) PROSPECTUS</w:t>
      </w:r>
    </w:p>
    <w:p>
      <w:pPr>
        <w:spacing w:after="0" w:line="266"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(this “Registration Statement”) in accordance with the provisions of Rule 428 under the Securities Act of 1933 (the “Securities Act”) and the introductory note to Part I of Form S-8.</w:t>
      </w:r>
    </w:p>
    <w:p>
      <w:pPr>
        <w:spacing w:after="0" w:line="20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will be sent or given to employees as specified by Rule 428(b)(1) of the Securities Act. Such documents are not required to be, and are not, filed with the Securities and Exchange Commission (the “Commission”) either as part of this Registration Statement or as prospectuses or prospectus supplements pursuant to Rule 424 of the Securities Act. These documents and the documents incorporated by reference pursuant to Item 3 of Part II of this Registration Statement, taken together, constitute a prospectus that meets the requirements of Section 10(a) of the Securities Act.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Instruction E Information</w:t>
      </w:r>
    </w:p>
    <w:p>
      <w:pPr>
        <w:spacing w:after="0" w:line="265"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This Registration Statement is being filed for the purpose of increasing the number of securities of the same class as other securities for which certain Registration Statements on Form S-8 relating to the Amended and Restated 2018 Equity and Incentive Compensation Plan. The Registrant’s Registration Statements on Form S-8 filed with the Commission (File Nos. 333-281411, 333-258488, and 333-227594), excluding reports that the Registrant filed with the Commission that were incorporated into such Form S-8 Registration Statements in order to maintain current information about the Registrant, are hereby incorporated by reference into this Registration Statement pursuant to General Instruction E of Form S-8.</w:t>
      </w:r>
    </w:p>
    <w:p>
      <w:pPr>
        <w:spacing w:after="0" w:line="20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PART II. INFORMATION REQUIRED IN THE REGISTRATION STATEMENT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CERTAIN DOCUMENTS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Commission are hereby incorporated by reference in this Registration Statement of the Registrant:</w:t>
      </w:r>
    </w:p>
    <w:p>
      <w:pPr>
        <w:spacing w:after="0" w:line="261" w:lineRule="exact"/>
        <w:rPr>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Registrant’s Annual Report on </w:t>
      </w:r>
      <w:hyperlink r:id="rId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w:t>
      </w:r>
    </w:p>
    <w:p>
      <w:pPr>
        <w:spacing w:after="0" w:line="28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Registrant’s Quarterly Reports on Form 10-Q for the fiscal quarter ended </w:t>
      </w:r>
      <w:hyperlink r:id="rId9">
        <w:r>
          <w:rPr>
            <w:rFonts w:ascii="Times New Roman" w:cs="Times New Roman" w:eastAsia="Times New Roman" w:hAnsi="Times New Roman"/>
            <w:sz w:val="18"/>
            <w:szCs w:val="18"/>
            <w:u w:val="single" w:color="auto"/>
            <w:color w:val="0000FF"/>
          </w:rPr>
          <w:t>March 31, 2026</w:t>
        </w:r>
      </w:hyperlink>
      <w:r>
        <w:rPr>
          <w:rFonts w:ascii="Times New Roman" w:cs="Times New Roman" w:eastAsia="Times New Roman" w:hAnsi="Times New Roman"/>
          <w:sz w:val="18"/>
          <w:szCs w:val="18"/>
          <w:color w:val="auto"/>
        </w:rPr>
        <w:t>;</w:t>
      </w:r>
    </w:p>
    <w:p>
      <w:pPr>
        <w:spacing w:after="0" w:line="27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Registrant’s Current Reports on Form 8-K filed with the Commission on </w:t>
      </w:r>
      <w:hyperlink r:id="rId10">
        <w:r>
          <w:rPr>
            <w:rFonts w:ascii="Times New Roman" w:cs="Times New Roman" w:eastAsia="Times New Roman" w:hAnsi="Times New Roman"/>
            <w:sz w:val="18"/>
            <w:szCs w:val="18"/>
            <w:u w:val="single" w:color="auto"/>
            <w:color w:val="0000FF"/>
          </w:rPr>
          <w:t>March 12, 2026</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00FF"/>
          </w:rPr>
          <w:t>March 18, 2026</w:t>
        </w:r>
      </w:hyperlink>
      <w:r>
        <w:rPr>
          <w:rFonts w:ascii="Times New Roman" w:cs="Times New Roman" w:eastAsia="Times New Roman" w:hAnsi="Times New Roman"/>
          <w:sz w:val="18"/>
          <w:szCs w:val="18"/>
          <w:color w:val="auto"/>
        </w:rPr>
        <w:t xml:space="preserve">, and </w:t>
      </w:r>
      <w:hyperlink r:id="rId12">
        <w:r>
          <w:rPr>
            <w:rFonts w:ascii="Times New Roman" w:cs="Times New Roman" w:eastAsia="Times New Roman" w:hAnsi="Times New Roman"/>
            <w:sz w:val="18"/>
            <w:szCs w:val="18"/>
            <w:u w:val="single" w:color="auto"/>
            <w:color w:val="0000FF"/>
          </w:rPr>
          <w:t>May 21, 2026</w:t>
        </w:r>
      </w:hyperlink>
      <w:r>
        <w:rPr>
          <w:rFonts w:ascii="Times New Roman" w:cs="Times New Roman" w:eastAsia="Times New Roman" w:hAnsi="Times New Roman"/>
          <w:sz w:val="18"/>
          <w:szCs w:val="18"/>
          <w:color w:val="auto"/>
        </w:rPr>
        <w:t>; and</w:t>
      </w:r>
    </w:p>
    <w:p>
      <w:pPr>
        <w:spacing w:after="0" w:line="287" w:lineRule="exact"/>
        <w:rPr>
          <w:rFonts w:ascii="Times New Roman" w:cs="Times New Roman" w:eastAsia="Times New Roman" w:hAnsi="Times New Roman"/>
          <w:sz w:val="18"/>
          <w:szCs w:val="18"/>
          <w:color w:val="auto"/>
        </w:rPr>
      </w:pPr>
    </w:p>
    <w:p>
      <w:pPr>
        <w:ind w:left="640" w:hanging="313"/>
        <w:spacing w:after="0" w:line="308" w:lineRule="auto"/>
        <w:tabs>
          <w:tab w:leader="none" w:pos="6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Registrant’s common stock set forth in </w:t>
      </w:r>
      <w:hyperlink r:id="rId13">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2019, including any amendment or report filed for the purpose of updating such description.</w:t>
      </w:r>
    </w:p>
    <w:p>
      <w:pPr>
        <w:spacing w:after="0" w:line="190" w:lineRule="exact"/>
        <w:rPr>
          <w:rFonts w:ascii="Times New Roman" w:cs="Times New Roman" w:eastAsia="Times New Roman" w:hAnsi="Times New Roman"/>
          <w:sz w:val="18"/>
          <w:szCs w:val="18"/>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In addition, all documents filed by the Registrant pursuant to Sections 13(a), 13(c), 14 and 15(d) of the Securities Exchange Act of 1934 (the “Exchange Act”) (other than the portions of these documents not deemed to be filed) on or after the date of this Registration Statement and prior to the filing of a post-effective amendment to this Registration Statement which indicates that all securities offered pursuant to this Registration Statement have been sold or which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in this Registration Statement shall be deemed to be modified or superseded for purposes of this Registration Statement to the extent that a statement contained herein modifies or supersedes such statement. Any such statement so modified or superseded shall not be deemed, except as so modified or superseded, to constitute a part of this Registration Statement.</w:t>
      </w:r>
    </w:p>
    <w:p>
      <w:pPr>
        <w:spacing w:after="0" w:line="20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3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33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The Registrant’s Restated Certificate of Incorporation, as amended, contains a provision eliminating the personal liability of the Registrant’s directors to the Registrant or its stockholders for breach of fiduciary duty as a director to the fullest extent permitted by applicable law. The Registrant's Bylaws, as amended, provide for the indemnification of its directors, officers, employees and other agents to the maximum extent permitted by Delaware General Corporation Law, and the Registrant has entered into agreements with its officers, directors and certain key employees implementing such indemnification.</w:t>
      </w:r>
    </w:p>
    <w:p>
      <w:pPr>
        <w:spacing w:after="0" w:line="21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its current and former directors and certain officers, to indemnify directors and officers of the Registrant who was or is a party or is threatened to be made a party to any threatened, pending or completed action, suit or proceeding by reason of the fact that he or she is or was a director or officer of the Registrant.</w:t>
      </w: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20" w:type="dxa"/>
            <w:vAlign w:val="bottom"/>
          </w:tcPr>
          <w:p>
            <w:pPr>
              <w:spacing w:after="0"/>
              <w:rPr>
                <w:sz w:val="16"/>
                <w:szCs w:val="16"/>
                <w:color w:val="auto"/>
              </w:rPr>
            </w:pPr>
          </w:p>
        </w:tc>
        <w:tc>
          <w:tcPr>
            <w:tcW w:w="9820" w:type="dxa"/>
            <w:vAlign w:val="bottom"/>
            <w:gridSpan w:val="4"/>
          </w:tcPr>
          <w:p>
            <w:pPr>
              <w:ind w:left="45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
        </w:trPr>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87"/>
        </w:trPr>
        <w:tc>
          <w:tcPr>
            <w:tcW w:w="12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5.1</w:t>
            </w:r>
          </w:p>
        </w:tc>
        <w:tc>
          <w:tcPr>
            <w:tcW w:w="9940" w:type="dxa"/>
            <w:vAlign w:val="bottom"/>
            <w:gridSpan w:val="5"/>
            <w:shd w:val="clear" w:color="auto" w:fill="CCEEFF"/>
          </w:tcPr>
          <w:p>
            <w:pPr>
              <w:ind w:left="120"/>
              <w:spacing w:after="0" w:line="187" w:lineRule="exact"/>
              <w:rPr>
                <w:sz w:val="20"/>
                <w:szCs w:val="20"/>
                <w:color w:val="auto"/>
              </w:rPr>
            </w:pPr>
            <w:r>
              <w:rPr>
                <w:rFonts w:ascii="Times New Roman" w:cs="Times New Roman" w:eastAsia="Times New Roman" w:hAnsi="Times New Roman"/>
                <w:sz w:val="18"/>
                <w:szCs w:val="18"/>
                <w:color w:val="0000FF"/>
              </w:rPr>
              <w:t>Opinion of Pillsbury Winthrop Shaw Pittman LLP (filed herewith)</w:t>
            </w:r>
            <w:r>
              <w:rPr>
                <w:rFonts w:ascii="Times New Roman" w:cs="Times New Roman" w:eastAsia="Times New Roman" w:hAnsi="Times New Roman"/>
                <w:sz w:val="18"/>
                <w:szCs w:val="18"/>
                <w:color w:val="000000"/>
              </w:rPr>
              <w:t>.</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2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rPr>
              <w:t>23.1</w:t>
            </w:r>
          </w:p>
        </w:tc>
        <w:tc>
          <w:tcPr>
            <w:tcW w:w="9940" w:type="dxa"/>
            <w:vAlign w:val="bottom"/>
            <w:gridSpan w:val="5"/>
          </w:tcPr>
          <w:p>
            <w:pPr>
              <w:ind w:left="120"/>
              <w:spacing w:after="0" w:line="187" w:lineRule="exact"/>
              <w:rPr>
                <w:sz w:val="20"/>
                <w:szCs w:val="20"/>
                <w:color w:val="auto"/>
              </w:rPr>
            </w:pPr>
            <w:r>
              <w:rPr>
                <w:rFonts w:ascii="Times New Roman" w:cs="Times New Roman" w:eastAsia="Times New Roman" w:hAnsi="Times New Roman"/>
                <w:sz w:val="18"/>
                <w:szCs w:val="18"/>
                <w:color w:val="0000FF"/>
              </w:rPr>
              <w:t>Consent of Grant Thornton LLP, independent registered public accounting firm (filed herewith)</w:t>
            </w:r>
            <w:r>
              <w:rPr>
                <w:rFonts w:ascii="Times New Roman" w:cs="Times New Roman" w:eastAsia="Times New Roman" w:hAnsi="Times New Roman"/>
                <w:sz w:val="18"/>
                <w:szCs w:val="18"/>
                <w:color w:val="000000"/>
              </w:rPr>
              <w:t>.</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7"/>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99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Consent of Pillsbury Winthrop Shaw Pittman LLP (included in Exhibit 5.1).</w:t>
            </w:r>
          </w:p>
        </w:tc>
      </w:tr>
      <w:tr>
        <w:trPr>
          <w:trHeight w:val="227"/>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99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Power of Attorney (included in the signature page to this Registration Statement).</w:t>
            </w:r>
          </w:p>
        </w:tc>
      </w:tr>
      <w:tr>
        <w:trPr>
          <w:trHeight w:val="187"/>
        </w:trPr>
        <w:tc>
          <w:tcPr>
            <w:tcW w:w="12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99.1#</w:t>
            </w:r>
          </w:p>
        </w:tc>
        <w:tc>
          <w:tcPr>
            <w:tcW w:w="9940" w:type="dxa"/>
            <w:vAlign w:val="bottom"/>
            <w:gridSpan w:val="5"/>
            <w:shd w:val="clear" w:color="auto" w:fill="CCEEFF"/>
          </w:tcPr>
          <w:p>
            <w:pPr>
              <w:ind w:left="120"/>
              <w:spacing w:after="0" w:line="187" w:lineRule="exact"/>
              <w:rPr>
                <w:sz w:val="20"/>
                <w:szCs w:val="20"/>
                <w:color w:val="auto"/>
              </w:rPr>
            </w:pPr>
            <w:r>
              <w:rPr>
                <w:rFonts w:ascii="Times New Roman" w:cs="Times New Roman" w:eastAsia="Times New Roman" w:hAnsi="Times New Roman"/>
                <w:sz w:val="18"/>
                <w:szCs w:val="18"/>
                <w:color w:val="0000FF"/>
              </w:rPr>
              <w:t>Universal Electronics Inc. Amended and Restated 2018 Equity and Incentive Compensation Plan (filed herewith)</w:t>
            </w:r>
            <w:r>
              <w:rPr>
                <w:rFonts w:ascii="Times New Roman" w:cs="Times New Roman" w:eastAsia="Times New Roman" w:hAnsi="Times New Roman"/>
                <w:sz w:val="18"/>
                <w:szCs w:val="18"/>
                <w:color w:val="000000"/>
              </w:rPr>
              <w:t>.</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bl>
    <w:p>
      <w:pPr>
        <w:ind w:left="1400" w:hanging="879"/>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 (filed herewith)</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7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51" w:lineRule="exact"/>
        <w:rPr>
          <w:sz w:val="20"/>
          <w:szCs w:val="20"/>
          <w:color w:val="auto"/>
        </w:rPr>
      </w:pPr>
    </w:p>
    <w:p>
      <w:pPr>
        <w:ind w:left="400" w:hanging="393"/>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47" w:lineRule="exact"/>
        <w:rPr>
          <w:rFonts w:ascii="Times New Roman" w:cs="Times New Roman" w:eastAsia="Times New Roman" w:hAnsi="Times New Roman"/>
          <w:sz w:val="18"/>
          <w:szCs w:val="18"/>
          <w:color w:val="auto"/>
        </w:rPr>
      </w:pPr>
    </w:p>
    <w:p>
      <w:pPr>
        <w:ind w:left="1080" w:hanging="432"/>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47" w:lineRule="exact"/>
        <w:rPr>
          <w:rFonts w:ascii="Times New Roman" w:cs="Times New Roman" w:eastAsia="Times New Roman" w:hAnsi="Times New Roman"/>
          <w:sz w:val="18"/>
          <w:szCs w:val="18"/>
          <w:color w:val="auto"/>
        </w:rPr>
      </w:pPr>
    </w:p>
    <w:p>
      <w:pPr>
        <w:ind w:left="1340" w:hanging="211"/>
        <w:spacing w:after="0"/>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47" w:lineRule="exact"/>
        <w:rPr>
          <w:rFonts w:ascii="Times New Roman" w:cs="Times New Roman" w:eastAsia="Times New Roman" w:hAnsi="Times New Roman"/>
          <w:sz w:val="18"/>
          <w:szCs w:val="18"/>
          <w:color w:val="auto"/>
        </w:rPr>
      </w:pPr>
    </w:p>
    <w:p>
      <w:pPr>
        <w:jc w:val="both"/>
        <w:ind w:left="1120" w:firstLine="9"/>
        <w:spacing w:after="0" w:line="252" w:lineRule="auto"/>
        <w:tabs>
          <w:tab w:leader="none" w:pos="13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w:t>
      </w:r>
    </w:p>
    <w:p>
      <w:pPr>
        <w:spacing w:after="0" w:line="215" w:lineRule="exact"/>
        <w:rPr>
          <w:rFonts w:ascii="Times New Roman" w:cs="Times New Roman" w:eastAsia="Times New Roman" w:hAnsi="Times New Roman"/>
          <w:sz w:val="18"/>
          <w:szCs w:val="18"/>
          <w:color w:val="auto"/>
        </w:rPr>
      </w:pPr>
    </w:p>
    <w:p>
      <w:pPr>
        <w:ind w:left="1120" w:firstLine="9"/>
        <w:spacing w:after="0" w:line="277" w:lineRule="auto"/>
        <w:tabs>
          <w:tab w:leader="none" w:pos="143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249" w:lineRule="exact"/>
        <w:rPr>
          <w:sz w:val="20"/>
          <w:szCs w:val="20"/>
          <w:color w:val="auto"/>
        </w:rPr>
      </w:pPr>
    </w:p>
    <w:p>
      <w:pPr>
        <w:jc w:val="both"/>
        <w:ind w:left="1120" w:firstLine="9"/>
        <w:spacing w:after="0" w:line="262" w:lineRule="auto"/>
        <w:tabs>
          <w:tab w:leader="none" w:pos="141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and (a)(1)(ii) do not apply if the Registration Statement is on Form S-8 and the information required to be included in a post-effective amendment by those paragraphs is contained in reports filed with or furnished to the Commission by the registrant pursuant to Sections 13 or 15(d) of the Exchange Act that are incorporated by reference in the Registration Statement.</w:t>
      </w:r>
    </w:p>
    <w:p>
      <w:pPr>
        <w:spacing w:after="0" w:line="203" w:lineRule="exact"/>
        <w:rPr>
          <w:rFonts w:ascii="Times New Roman" w:cs="Times New Roman" w:eastAsia="Times New Roman" w:hAnsi="Times New Roman"/>
          <w:sz w:val="18"/>
          <w:szCs w:val="18"/>
          <w:color w:val="auto"/>
        </w:rPr>
      </w:pPr>
    </w:p>
    <w:p>
      <w:pPr>
        <w:jc w:val="both"/>
        <w:ind w:left="640" w:firstLine="8"/>
        <w:spacing w:after="0" w:line="262" w:lineRule="auto"/>
        <w:tabs>
          <w:tab w:leader="none" w:pos="10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3" w:lineRule="exact"/>
        <w:rPr>
          <w:rFonts w:ascii="Times New Roman" w:cs="Times New Roman" w:eastAsia="Times New Roman" w:hAnsi="Times New Roman"/>
          <w:sz w:val="18"/>
          <w:szCs w:val="18"/>
          <w:color w:val="auto"/>
        </w:rPr>
      </w:pPr>
    </w:p>
    <w:p>
      <w:pPr>
        <w:ind w:left="640" w:firstLine="8"/>
        <w:spacing w:after="0" w:line="277" w:lineRule="auto"/>
        <w:tabs>
          <w:tab w:leader="none" w:pos="11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90" w:lineRule="exact"/>
        <w:rPr>
          <w:rFonts w:ascii="Times New Roman" w:cs="Times New Roman" w:eastAsia="Times New Roman" w:hAnsi="Times New Roman"/>
          <w:sz w:val="18"/>
          <w:szCs w:val="18"/>
          <w:color w:val="auto"/>
        </w:rPr>
      </w:pPr>
    </w:p>
    <w:p>
      <w:pPr>
        <w:jc w:val="both"/>
        <w:ind w:firstLine="7"/>
        <w:spacing w:after="0" w:line="277" w:lineRule="auto"/>
        <w:tabs>
          <w:tab w:leader="none" w:pos="2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of 1933, each filing of the registrant’s annual report pursuant to Sections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92" w:lineRule="exact"/>
        <w:rPr>
          <w:rFonts w:ascii="Times New Roman" w:cs="Times New Roman" w:eastAsia="Times New Roman" w:hAnsi="Times New Roman"/>
          <w:sz w:val="17"/>
          <w:szCs w:val="17"/>
          <w:color w:val="auto"/>
        </w:rPr>
      </w:pPr>
    </w:p>
    <w:p>
      <w:pPr>
        <w:jc w:val="both"/>
        <w:ind w:firstLine="7"/>
        <w:spacing w:after="0" w:line="252" w:lineRule="auto"/>
        <w:tabs>
          <w:tab w:leader="none" w:pos="2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described under Item 6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5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Scottsdale, State of Arizona, on this 26th day of May, 2026.</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8" w:lineRule="exact"/>
        <w:rPr>
          <w:sz w:val="20"/>
          <w:szCs w:val="20"/>
          <w:color w:val="auto"/>
        </w:rPr>
      </w:pPr>
    </w:p>
    <w:tbl>
      <w:tblPr>
        <w:tblLayout w:type="fixed"/>
        <w:tblInd w:w="5240" w:type="dxa"/>
        <w:tblCellMar>
          <w:top w:w="0" w:type="dxa"/>
          <w:left w:w="0" w:type="dxa"/>
          <w:bottom w:w="0" w:type="dxa"/>
          <w:right w:w="0" w:type="dxa"/>
        </w:tblCellMar>
      </w:tblP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Hochgesang</w:t>
            </w:r>
          </w:p>
        </w:tc>
      </w:tr>
      <w:tr>
        <w:trPr>
          <w:trHeight w:val="213"/>
        </w:trPr>
        <w:tc>
          <w:tcPr>
            <w:tcW w:w="9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Hochgesang</w:t>
            </w:r>
          </w:p>
        </w:tc>
      </w:tr>
      <w:tr>
        <w:trPr>
          <w:trHeight w:val="235"/>
        </w:trPr>
        <w:tc>
          <w:tcPr>
            <w:tcW w:w="9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Vice President, General Counsel and Corporate Secretary</w:t>
            </w: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1"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Richard K. Carnifax, Wade M Jenke and Ryan Hochgesang, jointly and severally, his or her attorneys-in-fact, each with the power of substitution, for him or her in any and all capacities, to sign any and all amendments to this Registration Statement (including post-effective amendments), and to file the same, with exhibits thereto and other documents in connection therewith, with the Commission, hereby ratifying and confirming all that each of said attorneys-in-fact, or his or her substitute or substitutes, may do or cause to be done by virtue hereof.</w:t>
      </w:r>
    </w:p>
    <w:p>
      <w:pPr>
        <w:spacing w:after="0" w:line="21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on May 26, 2026</w:t>
      </w:r>
      <w:r>
        <w:rPr>
          <w:rFonts w:ascii="Times New Roman" w:cs="Times New Roman" w:eastAsia="Times New Roman" w:hAnsi="Times New Roman"/>
          <w:sz w:val="16"/>
          <w:szCs w:val="16"/>
          <w:color w:val="auto"/>
        </w:rPr>
        <w:t>:</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NAME &amp; 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3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Richard K. Carnifax</w:t>
            </w: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220" w:type="dxa"/>
            <w:vAlign w:val="bottom"/>
          </w:tcPr>
          <w:p>
            <w:pPr>
              <w:spacing w:after="0" w:line="181" w:lineRule="exact"/>
              <w:rPr>
                <w:sz w:val="20"/>
                <w:szCs w:val="20"/>
                <w:color w:val="auto"/>
              </w:rPr>
            </w:pPr>
            <w:r>
              <w:rPr>
                <w:rFonts w:ascii="Times New Roman" w:cs="Times New Roman" w:eastAsia="Times New Roman" w:hAnsi="Times New Roman"/>
                <w:sz w:val="18"/>
                <w:szCs w:val="18"/>
                <w:i w:val="1"/>
                <w:iCs w:val="1"/>
                <w:color w:val="auto"/>
              </w:rPr>
              <w:t>Interim Chief Executive Officer and Chief Operating Officer</w:t>
            </w: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 Richard K. Carnifax</w:t>
            </w:r>
          </w:p>
        </w:tc>
        <w:tc>
          <w:tcPr>
            <w:tcW w:w="0" w:type="dxa"/>
            <w:vAlign w:val="bottom"/>
          </w:tcPr>
          <w:p>
            <w:pPr>
              <w:spacing w:after="0"/>
              <w:rPr>
                <w:sz w:val="1"/>
                <w:szCs w:val="1"/>
                <w:color w:val="auto"/>
              </w:rPr>
            </w:pPr>
          </w:p>
        </w:tc>
      </w:tr>
      <w:tr>
        <w:trPr>
          <w:trHeight w:val="2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Wade M. Jenke</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220" w:type="dxa"/>
            <w:vAlign w:val="bottom"/>
          </w:tcPr>
          <w:p>
            <w:pPr>
              <w:spacing w:after="0" w:line="181"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 Wade M. Jenke</w:t>
            </w:r>
          </w:p>
        </w:tc>
        <w:tc>
          <w:tcPr>
            <w:tcW w:w="0" w:type="dxa"/>
            <w:vAlign w:val="bottom"/>
          </w:tcPr>
          <w:p>
            <w:pPr>
              <w:spacing w:after="0"/>
              <w:rPr>
                <w:sz w:val="1"/>
                <w:szCs w:val="1"/>
                <w:color w:val="auto"/>
              </w:rPr>
            </w:pPr>
          </w:p>
        </w:tc>
      </w:tr>
      <w:tr>
        <w:trPr>
          <w:trHeight w:val="2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Eric B. Singer</w:t>
            </w: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 Eric B. Singer</w:t>
            </w:r>
          </w:p>
        </w:tc>
        <w:tc>
          <w:tcPr>
            <w:tcW w:w="0" w:type="dxa"/>
            <w:vAlign w:val="bottom"/>
          </w:tcPr>
          <w:p>
            <w:pPr>
              <w:spacing w:after="0"/>
              <w:rPr>
                <w:sz w:val="1"/>
                <w:szCs w:val="1"/>
                <w:color w:val="auto"/>
              </w:rPr>
            </w:pPr>
          </w:p>
        </w:tc>
      </w:tr>
      <w:tr>
        <w:trPr>
          <w:trHeight w:val="239"/>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 (Chairman)</w:t>
            </w:r>
          </w:p>
        </w:tc>
        <w:tc>
          <w:tcPr>
            <w:tcW w:w="4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Michael D. Burger</w:t>
            </w: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D. Burger</w:t>
            </w:r>
          </w:p>
        </w:tc>
        <w:tc>
          <w:tcPr>
            <w:tcW w:w="0" w:type="dxa"/>
            <w:vAlign w:val="bottom"/>
          </w:tcPr>
          <w:p>
            <w:pPr>
              <w:spacing w:after="0"/>
              <w:rPr>
                <w:sz w:val="1"/>
                <w:szCs w:val="1"/>
                <w:color w:val="auto"/>
              </w:rPr>
            </w:pPr>
          </w:p>
        </w:tc>
      </w:tr>
      <w:tr>
        <w:trPr>
          <w:trHeight w:val="239"/>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4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Satjiv S. Chahil</w:t>
            </w: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 Satjiv S. Chahil</w:t>
            </w:r>
          </w:p>
        </w:tc>
        <w:tc>
          <w:tcPr>
            <w:tcW w:w="0" w:type="dxa"/>
            <w:vAlign w:val="bottom"/>
          </w:tcPr>
          <w:p>
            <w:pPr>
              <w:spacing w:after="0"/>
              <w:rPr>
                <w:sz w:val="1"/>
                <w:szCs w:val="1"/>
                <w:color w:val="auto"/>
              </w:rPr>
            </w:pPr>
          </w:p>
        </w:tc>
      </w:tr>
      <w:tr>
        <w:trPr>
          <w:trHeight w:val="239"/>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4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Sue Ann R. Hamilton</w:t>
            </w: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 Sue Ann R. Hamilton</w:t>
            </w:r>
          </w:p>
        </w:tc>
        <w:tc>
          <w:tcPr>
            <w:tcW w:w="0" w:type="dxa"/>
            <w:vAlign w:val="bottom"/>
          </w:tcPr>
          <w:p>
            <w:pPr>
              <w:spacing w:after="0"/>
              <w:rPr>
                <w:sz w:val="1"/>
                <w:szCs w:val="1"/>
                <w:color w:val="auto"/>
              </w:rPr>
            </w:pPr>
          </w:p>
        </w:tc>
      </w:tr>
      <w:tr>
        <w:trPr>
          <w:trHeight w:val="239"/>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4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John Mutch</w:t>
            </w: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 John Mutch</w:t>
            </w:r>
          </w:p>
        </w:tc>
        <w:tc>
          <w:tcPr>
            <w:tcW w:w="0" w:type="dxa"/>
            <w:vAlign w:val="bottom"/>
          </w:tcPr>
          <w:p>
            <w:pPr>
              <w:spacing w:after="0"/>
              <w:rPr>
                <w:sz w:val="1"/>
                <w:szCs w:val="1"/>
                <w:color w:val="auto"/>
              </w:rPr>
            </w:pPr>
          </w:p>
        </w:tc>
      </w:tr>
      <w:tr>
        <w:trPr>
          <w:trHeight w:val="239"/>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4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26" w:right="339" w:bottom="1440" w:gutter="0" w:footer="0" w:header="0"/>
        </w:sectPr>
      </w:pPr>
    </w:p>
    <w:bookmarkStart w:id="5" w:name="page6"/>
    <w:bookmarkEnd w:id="5"/>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UNIVERSAL ELECTRONICS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457(a)</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375,000</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$ 3.96</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$ 1,485,000.00</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$ 205.08</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$0.01 per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$ 1,485,000.00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$ 205.08</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$ 205.08</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60"/>
        <w:spacing w:after="0" w:line="246" w:lineRule="auto"/>
        <w:rPr>
          <w:sz w:val="20"/>
          <w:szCs w:val="20"/>
          <w:color w:val="auto"/>
        </w:rPr>
      </w:pPr>
      <w:r>
        <w:rPr>
          <w:rFonts w:ascii="Arial" w:cs="Arial" w:eastAsia="Arial" w:hAnsi="Arial"/>
          <w:sz w:val="21"/>
          <w:szCs w:val="21"/>
          <w:color w:val="auto"/>
        </w:rPr>
        <w:t>Pursuant to Rule 416 of the Securities Act of 1933, as amended (the "Securities Act"), this Registration Statement also covers any additional shares of Registrant's Common Stock, par value $0.01 per share ("Common Stock"), that become issuable pursuant to the Universal Electronics Inc. Amended and Restated 2018 Equity and Incentive Compensation Plan by reason of any stock dividend, stock split, recapitalization or other similar transaction effected without the Registrant's receipt of consideration that results in an increase in the number of the Registrant's outstanding shares of Common Stock.</w:t>
      </w:r>
    </w:p>
    <w:p>
      <w:pPr>
        <w:spacing w:after="0" w:line="198" w:lineRule="exact"/>
        <w:rPr>
          <w:sz w:val="20"/>
          <w:szCs w:val="20"/>
          <w:color w:val="auto"/>
        </w:rPr>
      </w:pPr>
    </w:p>
    <w:p>
      <w:pPr>
        <w:ind w:left="800" w:right="740"/>
        <w:spacing w:after="0" w:line="252" w:lineRule="auto"/>
        <w:rPr>
          <w:sz w:val="20"/>
          <w:szCs w:val="20"/>
          <w:color w:val="auto"/>
        </w:rPr>
      </w:pPr>
      <w:r>
        <w:rPr>
          <w:rFonts w:ascii="Arial" w:cs="Arial" w:eastAsia="Arial" w:hAnsi="Arial"/>
          <w:sz w:val="21"/>
          <w:szCs w:val="21"/>
          <w:color w:val="auto"/>
        </w:rPr>
        <w:t>Proposed Maximum Offering Price Per Unit calculated pursuant to Rule 457(c) and 457(h) under the Securities Act, solely for the purposes of calculating the registration fee, based on the average of the high and low prices of the Common Stock as reported on the Nasdaq Global Select Market on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2400 Hanover Street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 Alto, CA 94304-1113</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26, 2026</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15147 N. Scottsdale Road, Suite H300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Arizona 85254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acting as counsel for Universal Electronics Inc., a Delaware corporation (the “Company”), in connection with the Registration Statement on Form S-8 (the “Registration Statement”) filed by the Company with the Securities and Exchange Commission (the “Commission”) under the Securities Act of 1933 (the “Act”) relating to the registration of 375,000 shares (the “Shares”) of the Company’s common stock, par value $0.01 per share, issuable pursuant to the Amended and Restated 2018 Equity and Incentive Compensation Plan (the “Plan”).</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reviewed the Registration Statement, the Plan and such other documents, records, certificates and other materials, and have reviewed and are familiar with such corporate proceedings and satisfied ourselves as to such other matters, as we have considered relevant or necessary as a basis for our opinions set forth in this letter.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the basis of the assumptions and subject to the qualifications and limitations set forth herein, we are of the opinion that the Shares have been duly authorized and, when issued and sold in accordance with the Plan, will be validly issued, fully paid and nonassessable.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opinions set forth in this letter are limited to the General Corporation Law of the State of Delaware, as in effect on the date hereof.</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5.1 to the Registration Statement. In giving this consent, we do not thereby admit that we are within the category of persons whose consent is required under Section 7 of the Act or the rules and regulations of the Commission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1240"/>
          </w:cols>
          <w:pgMar w:left="320" w:top="11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5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We have issued our reports dated March 12, 2026, with respect to the consolidated financial statements and internal control over financial reporting of Universal Electronics Inc. included in the Annual Report on Form 10-K for the year ended December 31, 2025, which are incorporated by reference in this Registration Statement. We consent to the incorporation by reference of the aforementioned reports in this Registration Statement.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ectPr>
          <w:pgSz w:w="11900" w:h="16838" w:orient="portrait"/>
          <w:cols w:equalWidth="0" w:num="1">
            <w:col w:w="11240"/>
          </w:cols>
          <w:pgMar w:left="320" w:top="11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5"/>
          <w:szCs w:val="25"/>
          <w:b w:val="1"/>
          <w:bCs w:val="1"/>
          <w:color w:val="auto"/>
        </w:rPr>
        <w:t>UNIVERSAL ELECTRONICS INC.</w:t>
      </w:r>
    </w:p>
    <w:p>
      <w:pPr>
        <w:spacing w:after="0" w:line="24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5"/>
          <w:szCs w:val="25"/>
          <w:b w:val="1"/>
          <w:bCs w:val="1"/>
          <w:color w:val="auto"/>
        </w:rPr>
        <w:t>AMENDED AND RESTATED</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2018 EQUITY AND INCENTIVE COMPENSATION PLAN</w:t>
      </w:r>
    </w:p>
    <w:p>
      <w:pPr>
        <w:spacing w:after="0" w:line="22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Restatement Effective Date: May 19, 2026</w:t>
      </w:r>
    </w:p>
    <w:p>
      <w:pPr>
        <w:sectPr>
          <w:pgSz w:w="11900" w:h="16838" w:orient="portrait"/>
          <w:cols w:equalWidth="0" w:num="1">
            <w:col w:w="10120"/>
          </w:cols>
          <w:pgMar w:left="1440" w:top="121" w:right="339"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5" w:lineRule="exact"/>
        <w:rPr>
          <w:sz w:val="20"/>
          <w:szCs w:val="20"/>
          <w:color w:val="auto"/>
        </w:rPr>
      </w:pPr>
    </w:p>
    <w:p>
      <w:pPr>
        <w:spacing w:after="0"/>
        <w:tabs>
          <w:tab w:leader="none" w:pos="1400" w:val="left"/>
          <w:tab w:leader="none" w:pos="3080" w:val="left"/>
        </w:tabs>
        <w:rPr>
          <w:sz w:val="20"/>
          <w:szCs w:val="20"/>
          <w:color w:val="auto"/>
        </w:rPr>
      </w:pPr>
      <w:r>
        <w:rPr>
          <w:rFonts w:ascii="Times New Roman" w:cs="Times New Roman" w:eastAsia="Times New Roman" w:hAnsi="Times New Roman"/>
          <w:sz w:val="21"/>
          <w:szCs w:val="21"/>
          <w:b w:val="1"/>
          <w:bCs w:val="1"/>
          <w:u w:val="single" w:color="auto"/>
          <w:color w:val="0000FF"/>
        </w:rPr>
        <w:t>SECTION 2.</w:t>
      </w:r>
      <w:r>
        <w:rPr>
          <w:sz w:val="20"/>
          <w:szCs w:val="20"/>
          <w:color w:val="auto"/>
        </w:rPr>
        <w:tab/>
      </w:r>
      <w:r>
        <w:rPr>
          <w:rFonts w:ascii="Times New Roman" w:cs="Times New Roman" w:eastAsia="Times New Roman" w:hAnsi="Times New Roman"/>
          <w:sz w:val="21"/>
          <w:szCs w:val="21"/>
          <w:b w:val="1"/>
          <w:bCs w:val="1"/>
          <w:u w:val="single" w:color="auto"/>
          <w:color w:val="0000FF"/>
        </w:rPr>
        <w:t>DEFINITIONS.</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6" w:lineRule="exact"/>
        <w:rPr>
          <w:sz w:val="20"/>
          <w:szCs w:val="20"/>
          <w:color w:val="auto"/>
        </w:rPr>
      </w:pPr>
    </w:p>
    <w:p>
      <w:pPr>
        <w:spacing w:after="0"/>
        <w:tabs>
          <w:tab w:leader="none" w:pos="1400" w:val="left"/>
          <w:tab w:leader="none" w:pos="3600" w:val="left"/>
        </w:tabs>
        <w:rPr>
          <w:sz w:val="20"/>
          <w:szCs w:val="20"/>
          <w:color w:val="auto"/>
        </w:rPr>
      </w:pPr>
      <w:r>
        <w:rPr>
          <w:rFonts w:ascii="Times New Roman" w:cs="Times New Roman" w:eastAsia="Times New Roman" w:hAnsi="Times New Roman"/>
          <w:sz w:val="21"/>
          <w:szCs w:val="21"/>
          <w:b w:val="1"/>
          <w:bCs w:val="1"/>
          <w:u w:val="single" w:color="auto"/>
          <w:color w:val="0000FF"/>
        </w:rPr>
        <w:t>SECTION 3.</w:t>
      </w:r>
      <w:r>
        <w:rPr>
          <w:sz w:val="20"/>
          <w:szCs w:val="20"/>
          <w:color w:val="auto"/>
        </w:rPr>
        <w:tab/>
      </w:r>
      <w:r>
        <w:rPr>
          <w:rFonts w:ascii="Times New Roman" w:cs="Times New Roman" w:eastAsia="Times New Roman" w:hAnsi="Times New Roman"/>
          <w:sz w:val="21"/>
          <w:szCs w:val="21"/>
          <w:b w:val="1"/>
          <w:bCs w:val="1"/>
          <w:u w:val="single" w:color="auto"/>
          <w:color w:val="0000FF"/>
        </w:rPr>
        <w:t>ADMINISTRATION.</w:t>
      </w:r>
      <w:r>
        <w:rPr>
          <w:sz w:val="20"/>
          <w:szCs w:val="20"/>
          <w:color w:val="auto"/>
        </w:rPr>
        <w:tab/>
      </w:r>
      <w:r>
        <w:rPr>
          <w:rFonts w:ascii="Times New Roman" w:cs="Times New Roman" w:eastAsia="Times New Roman" w:hAnsi="Times New Roman"/>
          <w:sz w:val="20"/>
          <w:szCs w:val="20"/>
          <w:b w:val="1"/>
          <w:bCs w:val="1"/>
          <w:color w:val="auto"/>
        </w:rPr>
        <w:t>9</w:t>
      </w:r>
    </w:p>
    <w:p>
      <w:pPr>
        <w:spacing w:after="0" w:line="123" w:lineRule="exact"/>
        <w:rPr>
          <w:sz w:val="20"/>
          <w:szCs w:val="20"/>
          <w:color w:val="auto"/>
        </w:rPr>
      </w:pPr>
    </w:p>
    <w:p>
      <w:pPr>
        <w:ind w:left="800" w:hanging="473"/>
        <w:spacing w:after="0"/>
        <w:tabs>
          <w:tab w:leader="none" w:pos="800" w:val="left"/>
        </w:tabs>
        <w:numPr>
          <w:ilvl w:val="0"/>
          <w:numId w:val="1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Committee Composition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9</w:t>
      </w:r>
    </w:p>
    <w:p>
      <w:pPr>
        <w:spacing w:after="0" w:line="132" w:lineRule="exact"/>
        <w:rPr>
          <w:rFonts w:ascii="Times New Roman" w:cs="Times New Roman" w:eastAsia="Times New Roman" w:hAnsi="Times New Roman"/>
          <w:sz w:val="21"/>
          <w:szCs w:val="21"/>
          <w:u w:val="single" w:color="auto"/>
          <w:color w:val="0000FF"/>
        </w:rPr>
      </w:pPr>
    </w:p>
    <w:p>
      <w:pPr>
        <w:ind w:left="820" w:hanging="493"/>
        <w:spacing w:after="0"/>
        <w:tabs>
          <w:tab w:leader="none" w:pos="820" w:val="left"/>
        </w:tabs>
        <w:numPr>
          <w:ilvl w:val="0"/>
          <w:numId w:val="1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Committee Appointment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9</w:t>
      </w:r>
    </w:p>
    <w:p>
      <w:pPr>
        <w:spacing w:after="0" w:line="119" w:lineRule="exact"/>
        <w:rPr>
          <w:rFonts w:ascii="Times New Roman" w:cs="Times New Roman" w:eastAsia="Times New Roman" w:hAnsi="Times New Roman"/>
          <w:sz w:val="21"/>
          <w:szCs w:val="21"/>
          <w:u w:val="single" w:color="auto"/>
          <w:color w:val="0000FF"/>
        </w:rPr>
      </w:pPr>
    </w:p>
    <w:p>
      <w:pPr>
        <w:ind w:left="800" w:hanging="473"/>
        <w:spacing w:after="0"/>
        <w:tabs>
          <w:tab w:leader="none" w:pos="800" w:val="left"/>
        </w:tabs>
        <w:numPr>
          <w:ilvl w:val="0"/>
          <w:numId w:val="1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Committee Responsibilities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(d)</w:t>
            </w:r>
          </w:p>
        </w:tc>
        <w:tc>
          <w:tcPr>
            <w:tcW w:w="240" w:type="dxa"/>
            <w:vAlign w:val="bottom"/>
          </w:tcPr>
          <w:p>
            <w:pPr>
              <w:spacing w:after="0"/>
              <w:rPr>
                <w:sz w:val="21"/>
                <w:szCs w:val="21"/>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21"/>
                <w:szCs w:val="21"/>
                <w:color w:val="0000FF"/>
              </w:rPr>
              <w:t xml:space="preserve">Reliance on Reports  </w:t>
            </w:r>
            <w:r>
              <w:rPr>
                <w:rFonts w:ascii="Times New Roman" w:cs="Times New Roman" w:eastAsia="Times New Roman" w:hAnsi="Times New Roman"/>
                <w:sz w:val="21"/>
                <w:szCs w:val="21"/>
                <w:color w:val="000000"/>
              </w:rPr>
              <w:t>11</w:t>
            </w: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(e)</w:t>
            </w:r>
          </w:p>
        </w:tc>
        <w:tc>
          <w:tcPr>
            <w:tcW w:w="2260" w:type="dxa"/>
            <w:vAlign w:val="bottom"/>
            <w:gridSpan w:val="7"/>
          </w:tcPr>
          <w:p>
            <w:pPr>
              <w:ind w:left="240"/>
              <w:spacing w:after="0"/>
              <w:rPr>
                <w:sz w:val="20"/>
                <w:szCs w:val="20"/>
                <w:color w:val="auto"/>
              </w:rPr>
            </w:pPr>
            <w:r>
              <w:rPr>
                <w:rFonts w:ascii="Times New Roman" w:cs="Times New Roman" w:eastAsia="Times New Roman" w:hAnsi="Times New Roman"/>
                <w:sz w:val="21"/>
                <w:szCs w:val="21"/>
                <w:color w:val="0000FF"/>
              </w:rPr>
              <w:t>Limitation of Liability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48"/>
        </w:trPr>
        <w:tc>
          <w:tcPr>
            <w:tcW w:w="2820" w:type="dxa"/>
            <w:vAlign w:val="bottom"/>
            <w:gridSpan w:val="9"/>
          </w:tcPr>
          <w:p>
            <w:pPr>
              <w:spacing w:after="0"/>
              <w:rPr>
                <w:sz w:val="20"/>
                <w:szCs w:val="20"/>
                <w:color w:val="auto"/>
              </w:rPr>
            </w:pPr>
            <w:r>
              <w:rPr>
                <w:rFonts w:ascii="Times New Roman" w:cs="Times New Roman" w:eastAsia="Times New Roman" w:hAnsi="Times New Roman"/>
                <w:sz w:val="21"/>
                <w:szCs w:val="21"/>
                <w:b w:val="1"/>
                <w:bCs w:val="1"/>
                <w:color w:val="0000FF"/>
              </w:rPr>
              <w:t>SECTION 4.  ELIGIBILITY.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11</w:t>
            </w:r>
          </w:p>
        </w:tc>
      </w:tr>
      <w:tr>
        <w:trPr>
          <w:trHeight w:val="20"/>
        </w:trPr>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33" w:lineRule="exact"/>
        <w:rPr>
          <w:sz w:val="20"/>
          <w:szCs w:val="20"/>
          <w:color w:val="auto"/>
        </w:rPr>
      </w:pPr>
    </w:p>
    <w:p>
      <w:pPr>
        <w:ind w:left="800" w:hanging="473"/>
        <w:spacing w:after="0"/>
        <w:tabs>
          <w:tab w:leader="none" w:pos="800" w:val="left"/>
        </w:tabs>
        <w:numPr>
          <w:ilvl w:val="0"/>
          <w:numId w:val="1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General Rule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11</w:t>
      </w:r>
    </w:p>
    <w:p>
      <w:pPr>
        <w:spacing w:after="0" w:line="119" w:lineRule="exact"/>
        <w:rPr>
          <w:rFonts w:ascii="Times New Roman" w:cs="Times New Roman" w:eastAsia="Times New Roman" w:hAnsi="Times New Roman"/>
          <w:sz w:val="21"/>
          <w:szCs w:val="21"/>
          <w:u w:val="single" w:color="auto"/>
          <w:color w:val="0000FF"/>
        </w:rPr>
      </w:pPr>
    </w:p>
    <w:p>
      <w:pPr>
        <w:ind w:left="820" w:hanging="493"/>
        <w:spacing w:after="0"/>
        <w:tabs>
          <w:tab w:leader="none" w:pos="820" w:val="left"/>
        </w:tabs>
        <w:numPr>
          <w:ilvl w:val="0"/>
          <w:numId w:val="1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Ten-Percent Stockholders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11</w:t>
      </w:r>
    </w:p>
    <w:p>
      <w:pPr>
        <w:spacing w:after="0" w:line="222" w:lineRule="exact"/>
        <w:rPr>
          <w:sz w:val="20"/>
          <w:szCs w:val="20"/>
          <w:color w:val="auto"/>
        </w:rPr>
      </w:pPr>
    </w:p>
    <w:p>
      <w:pPr>
        <w:spacing w:after="0"/>
        <w:tabs>
          <w:tab w:leader="none" w:pos="1400" w:val="left"/>
          <w:tab w:leader="none" w:pos="4420" w:val="left"/>
        </w:tabs>
        <w:rPr>
          <w:sz w:val="20"/>
          <w:szCs w:val="20"/>
          <w:color w:val="auto"/>
        </w:rPr>
      </w:pPr>
      <w:r>
        <w:rPr>
          <w:rFonts w:ascii="Times New Roman" w:cs="Times New Roman" w:eastAsia="Times New Roman" w:hAnsi="Times New Roman"/>
          <w:sz w:val="21"/>
          <w:szCs w:val="21"/>
          <w:b w:val="1"/>
          <w:bCs w:val="1"/>
          <w:u w:val="single" w:color="auto"/>
          <w:color w:val="0000FF"/>
        </w:rPr>
        <w:t>SECTION 5.</w:t>
      </w:r>
      <w:r>
        <w:rPr>
          <w:sz w:val="20"/>
          <w:szCs w:val="20"/>
          <w:color w:val="auto"/>
        </w:rPr>
        <w:tab/>
      </w:r>
      <w:r>
        <w:rPr>
          <w:rFonts w:ascii="Times New Roman" w:cs="Times New Roman" w:eastAsia="Times New Roman" w:hAnsi="Times New Roman"/>
          <w:sz w:val="21"/>
          <w:szCs w:val="21"/>
          <w:b w:val="1"/>
          <w:bCs w:val="1"/>
          <w:u w:val="single" w:color="auto"/>
          <w:color w:val="0000FF"/>
        </w:rPr>
        <w:t>STOCK SUBJECT TO PLAN.</w:t>
      </w:r>
      <w:r>
        <w:rPr>
          <w:sz w:val="20"/>
          <w:szCs w:val="20"/>
          <w:color w:val="auto"/>
        </w:rPr>
        <w:tab/>
      </w:r>
      <w:r>
        <w:rPr>
          <w:rFonts w:ascii="Times New Roman" w:cs="Times New Roman" w:eastAsia="Times New Roman" w:hAnsi="Times New Roman"/>
          <w:sz w:val="21"/>
          <w:szCs w:val="21"/>
          <w:b w:val="1"/>
          <w:bCs w:val="1"/>
          <w:color w:val="auto"/>
        </w:rPr>
        <w:t>12</w:t>
      </w:r>
    </w:p>
    <w:p>
      <w:pPr>
        <w:spacing w:after="0" w:line="123" w:lineRule="exact"/>
        <w:rPr>
          <w:sz w:val="20"/>
          <w:szCs w:val="20"/>
          <w:color w:val="auto"/>
        </w:rPr>
      </w:pPr>
    </w:p>
    <w:p>
      <w:pPr>
        <w:ind w:left="800" w:hanging="473"/>
        <w:spacing w:after="0"/>
        <w:tabs>
          <w:tab w:leader="none" w:pos="800" w:val="left"/>
        </w:tabs>
        <w:numPr>
          <w:ilvl w:val="0"/>
          <w:numId w:val="12"/>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Basic Limitation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12</w:t>
      </w:r>
    </w:p>
    <w:p>
      <w:pPr>
        <w:spacing w:after="0" w:line="119" w:lineRule="exact"/>
        <w:rPr>
          <w:rFonts w:ascii="Times New Roman" w:cs="Times New Roman" w:eastAsia="Times New Roman" w:hAnsi="Times New Roman"/>
          <w:sz w:val="21"/>
          <w:szCs w:val="21"/>
          <w:u w:val="single" w:color="auto"/>
          <w:color w:val="0000FF"/>
        </w:rPr>
      </w:pPr>
    </w:p>
    <w:p>
      <w:pPr>
        <w:ind w:left="820" w:hanging="493"/>
        <w:spacing w:after="0"/>
        <w:tabs>
          <w:tab w:leader="none" w:pos="820" w:val="left"/>
        </w:tabs>
        <w:numPr>
          <w:ilvl w:val="0"/>
          <w:numId w:val="12"/>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Share Counting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12</w:t>
      </w:r>
    </w:p>
    <w:p>
      <w:pPr>
        <w:spacing w:after="0" w:line="106"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(c)</w:t>
            </w:r>
          </w:p>
        </w:tc>
        <w:tc>
          <w:tcPr>
            <w:tcW w:w="4080" w:type="dxa"/>
            <w:vAlign w:val="bottom"/>
            <w:gridSpan w:val="5"/>
          </w:tcPr>
          <w:p>
            <w:pPr>
              <w:ind w:left="220"/>
              <w:spacing w:after="0"/>
              <w:rPr>
                <w:sz w:val="20"/>
                <w:szCs w:val="20"/>
                <w:color w:val="auto"/>
              </w:rPr>
            </w:pPr>
            <w:r>
              <w:rPr>
                <w:rFonts w:ascii="Times New Roman" w:cs="Times New Roman" w:eastAsia="Times New Roman" w:hAnsi="Times New Roman"/>
                <w:sz w:val="21"/>
                <w:szCs w:val="21"/>
                <w:color w:val="0000FF"/>
              </w:rPr>
              <w:t xml:space="preserve">Limit on Incentive Stock Options  </w:t>
            </w:r>
            <w:r>
              <w:rPr>
                <w:rFonts w:ascii="Times New Roman" w:cs="Times New Roman" w:eastAsia="Times New Roman" w:hAnsi="Times New Roman"/>
                <w:sz w:val="21"/>
                <w:szCs w:val="21"/>
                <w:color w:val="000000"/>
              </w:rPr>
              <w:t>12</w:t>
            </w:r>
          </w:p>
        </w:tc>
      </w:tr>
      <w:tr>
        <w:trPr>
          <w:trHeight w:val="20"/>
        </w:trPr>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4"/>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w w:val="97"/>
              </w:rPr>
              <w:t>(d)</w:t>
            </w:r>
          </w:p>
        </w:tc>
        <w:tc>
          <w:tcPr>
            <w:tcW w:w="24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 xml:space="preserve">Substitution and Assumption of Awards  </w:t>
            </w:r>
            <w:r>
              <w:rPr>
                <w:rFonts w:ascii="Times New Roman" w:cs="Times New Roman" w:eastAsia="Times New Roman" w:hAnsi="Times New Roman"/>
                <w:sz w:val="21"/>
                <w:szCs w:val="21"/>
                <w:color w:val="000000"/>
              </w:rPr>
              <w:t>12</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(e)</w:t>
            </w:r>
          </w:p>
        </w:tc>
        <w:tc>
          <w:tcPr>
            <w:tcW w:w="4080" w:type="dxa"/>
            <w:vAlign w:val="bottom"/>
            <w:gridSpan w:val="5"/>
          </w:tcPr>
          <w:p>
            <w:pPr>
              <w:ind w:left="220"/>
              <w:spacing w:after="0"/>
              <w:rPr>
                <w:sz w:val="20"/>
                <w:szCs w:val="20"/>
                <w:color w:val="auto"/>
              </w:rPr>
            </w:pPr>
            <w:r>
              <w:rPr>
                <w:rFonts w:ascii="Times New Roman" w:cs="Times New Roman" w:eastAsia="Times New Roman" w:hAnsi="Times New Roman"/>
                <w:sz w:val="21"/>
                <w:szCs w:val="21"/>
                <w:color w:val="0000FF"/>
              </w:rPr>
              <w:t xml:space="preserve">Source of Shares  </w:t>
            </w:r>
            <w:r>
              <w:rPr>
                <w:rFonts w:ascii="Times New Roman" w:cs="Times New Roman" w:eastAsia="Times New Roman" w:hAnsi="Times New Roman"/>
                <w:sz w:val="21"/>
                <w:szCs w:val="21"/>
                <w:color w:val="000000"/>
              </w:rPr>
              <w:t>13</w:t>
            </w:r>
          </w:p>
        </w:tc>
      </w:tr>
      <w:tr>
        <w:trPr>
          <w:trHeight w:val="20"/>
        </w:trPr>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tabs>
          <w:tab w:leader="none" w:pos="1400" w:val="left"/>
          <w:tab w:leader="none" w:pos="6560" w:val="left"/>
        </w:tabs>
        <w:rPr>
          <w:sz w:val="20"/>
          <w:szCs w:val="20"/>
          <w:color w:val="auto"/>
        </w:rPr>
      </w:pPr>
      <w:r>
        <w:rPr>
          <w:rFonts w:ascii="Times New Roman" w:cs="Times New Roman" w:eastAsia="Times New Roman" w:hAnsi="Times New Roman"/>
          <w:sz w:val="21"/>
          <w:szCs w:val="21"/>
          <w:b w:val="1"/>
          <w:bCs w:val="1"/>
          <w:u w:val="single" w:color="auto"/>
          <w:color w:val="0000FF"/>
        </w:rPr>
        <w:t>SECTION 6.</w:t>
      </w:r>
      <w:r>
        <w:rPr>
          <w:sz w:val="20"/>
          <w:szCs w:val="20"/>
          <w:color w:val="auto"/>
        </w:rPr>
        <w:tab/>
      </w:r>
      <w:r>
        <w:rPr>
          <w:rFonts w:ascii="Times New Roman" w:cs="Times New Roman" w:eastAsia="Times New Roman" w:hAnsi="Times New Roman"/>
          <w:sz w:val="21"/>
          <w:szCs w:val="21"/>
          <w:b w:val="1"/>
          <w:bCs w:val="1"/>
          <w:u w:val="single" w:color="auto"/>
          <w:color w:val="0000FF"/>
        </w:rPr>
        <w:t>LIMITATIONS AND MINIMUM REQUIREMENTS.</w:t>
      </w:r>
      <w:r>
        <w:rPr>
          <w:sz w:val="20"/>
          <w:szCs w:val="20"/>
          <w:color w:val="auto"/>
        </w:rPr>
        <w:tab/>
      </w:r>
      <w:r>
        <w:rPr>
          <w:rFonts w:ascii="Times New Roman" w:cs="Times New Roman" w:eastAsia="Times New Roman" w:hAnsi="Times New Roman"/>
          <w:sz w:val="21"/>
          <w:szCs w:val="21"/>
          <w:b w:val="1"/>
          <w:bCs w:val="1"/>
          <w:color w:val="auto"/>
        </w:rPr>
        <w:t>13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(a)</w:t>
            </w:r>
          </w:p>
        </w:tc>
        <w:tc>
          <w:tcPr>
            <w:tcW w:w="4200" w:type="dxa"/>
            <w:vAlign w:val="bottom"/>
            <w:gridSpan w:val="9"/>
          </w:tcPr>
          <w:p>
            <w:pPr>
              <w:ind w:left="240"/>
              <w:spacing w:after="0"/>
              <w:rPr>
                <w:sz w:val="20"/>
                <w:szCs w:val="20"/>
                <w:color w:val="auto"/>
              </w:rPr>
            </w:pPr>
            <w:r>
              <w:rPr>
                <w:rFonts w:ascii="Times New Roman" w:cs="Times New Roman" w:eastAsia="Times New Roman" w:hAnsi="Times New Roman"/>
                <w:sz w:val="21"/>
                <w:szCs w:val="21"/>
                <w:color w:val="0000FF"/>
              </w:rPr>
              <w:t>Non-Employee Director Compensation Limit</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(b)</w:t>
            </w:r>
          </w:p>
        </w:tc>
        <w:tc>
          <w:tcPr>
            <w:tcW w:w="260" w:type="dxa"/>
            <w:vAlign w:val="bottom"/>
          </w:tcPr>
          <w:p>
            <w:pPr>
              <w:spacing w:after="0"/>
              <w:rPr>
                <w:sz w:val="24"/>
                <w:szCs w:val="24"/>
                <w:color w:val="auto"/>
              </w:rPr>
            </w:pPr>
          </w:p>
        </w:tc>
        <w:tc>
          <w:tcPr>
            <w:tcW w:w="39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rPr>
              <w:t xml:space="preserve">Minimum Vesting Requirement  </w:t>
            </w:r>
            <w:r>
              <w:rPr>
                <w:rFonts w:ascii="Times New Roman" w:cs="Times New Roman" w:eastAsia="Times New Roman" w:hAnsi="Times New Roman"/>
                <w:sz w:val="21"/>
                <w:szCs w:val="21"/>
                <w:color w:val="000000"/>
              </w:rPr>
              <w:t>13</w:t>
            </w:r>
          </w:p>
        </w:tc>
        <w:tc>
          <w:tcPr>
            <w:tcW w:w="3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4"/>
        </w:trPr>
        <w:tc>
          <w:tcPr>
            <w:tcW w:w="3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(c)</w:t>
            </w:r>
          </w:p>
        </w:tc>
        <w:tc>
          <w:tcPr>
            <w:tcW w:w="4200" w:type="dxa"/>
            <w:vAlign w:val="bottom"/>
            <w:gridSpan w:val="9"/>
          </w:tcPr>
          <w:p>
            <w:pPr>
              <w:ind w:left="240"/>
              <w:spacing w:after="0"/>
              <w:rPr>
                <w:sz w:val="20"/>
                <w:szCs w:val="20"/>
                <w:color w:val="auto"/>
              </w:rPr>
            </w:pPr>
            <w:r>
              <w:rPr>
                <w:rFonts w:ascii="Times New Roman" w:cs="Times New Roman" w:eastAsia="Times New Roman" w:hAnsi="Times New Roman"/>
                <w:sz w:val="21"/>
                <w:szCs w:val="21"/>
                <w:color w:val="0000FF"/>
              </w:rPr>
              <w:t>Restriction on Acceleration Following Grant</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48"/>
        </w:trPr>
        <w:tc>
          <w:tcPr>
            <w:tcW w:w="4760" w:type="dxa"/>
            <w:vAlign w:val="bottom"/>
            <w:gridSpan w:val="11"/>
          </w:tcPr>
          <w:p>
            <w:pPr>
              <w:spacing w:after="0"/>
              <w:rPr>
                <w:sz w:val="20"/>
                <w:szCs w:val="20"/>
                <w:color w:val="auto"/>
              </w:rPr>
            </w:pPr>
            <w:r>
              <w:rPr>
                <w:rFonts w:ascii="Times New Roman" w:cs="Times New Roman" w:eastAsia="Times New Roman" w:hAnsi="Times New Roman"/>
                <w:sz w:val="21"/>
                <w:szCs w:val="21"/>
                <w:b w:val="1"/>
                <w:bCs w:val="1"/>
                <w:color w:val="0000FF"/>
              </w:rPr>
              <w:t xml:space="preserve">SECTION 7.  RESTRICTED SHARES.  </w:t>
            </w:r>
            <w:r>
              <w:rPr>
                <w:rFonts w:ascii="Times New Roman" w:cs="Times New Roman" w:eastAsia="Times New Roman" w:hAnsi="Times New Roman"/>
                <w:sz w:val="21"/>
                <w:szCs w:val="21"/>
                <w:b w:val="1"/>
                <w:bCs w:val="1"/>
                <w:color w:val="000000"/>
              </w:rPr>
              <w:t>13</w:t>
            </w:r>
          </w:p>
        </w:tc>
        <w:tc>
          <w:tcPr>
            <w:tcW w:w="360" w:type="dxa"/>
            <w:vAlign w:val="bottom"/>
          </w:tcPr>
          <w:p>
            <w:pPr>
              <w:spacing w:after="0"/>
              <w:rPr>
                <w:sz w:val="24"/>
                <w:szCs w:val="2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(a)</w:t>
            </w:r>
          </w:p>
        </w:tc>
        <w:tc>
          <w:tcPr>
            <w:tcW w:w="4200" w:type="dxa"/>
            <w:vAlign w:val="bottom"/>
            <w:gridSpan w:val="9"/>
          </w:tcPr>
          <w:p>
            <w:pPr>
              <w:ind w:left="240"/>
              <w:spacing w:after="0"/>
              <w:rPr>
                <w:sz w:val="20"/>
                <w:szCs w:val="20"/>
                <w:color w:val="auto"/>
              </w:rPr>
            </w:pPr>
            <w:r>
              <w:rPr>
                <w:rFonts w:ascii="Times New Roman" w:cs="Times New Roman" w:eastAsia="Times New Roman" w:hAnsi="Times New Roman"/>
                <w:sz w:val="21"/>
                <w:szCs w:val="21"/>
                <w:color w:val="0000FF"/>
              </w:rPr>
              <w:t xml:space="preserve">Restricted Share Award Agreement  </w:t>
            </w:r>
            <w:r>
              <w:rPr>
                <w:rFonts w:ascii="Times New Roman" w:cs="Times New Roman" w:eastAsia="Times New Roman" w:hAnsi="Times New Roman"/>
                <w:sz w:val="21"/>
                <w:szCs w:val="21"/>
                <w:color w:val="000000"/>
              </w:rPr>
              <w:t>13</w:t>
            </w:r>
          </w:p>
        </w:tc>
        <w:tc>
          <w:tcPr>
            <w:tcW w:w="3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(b)</w:t>
            </w:r>
          </w:p>
        </w:tc>
        <w:tc>
          <w:tcPr>
            <w:tcW w:w="260" w:type="dxa"/>
            <w:vAlign w:val="bottom"/>
          </w:tcPr>
          <w:p>
            <w:pPr>
              <w:spacing w:after="0"/>
              <w:rPr>
                <w:sz w:val="24"/>
                <w:szCs w:val="24"/>
                <w:color w:val="auto"/>
              </w:rPr>
            </w:pPr>
          </w:p>
        </w:tc>
        <w:tc>
          <w:tcPr>
            <w:tcW w:w="39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rPr>
              <w:t xml:space="preserve">Payment for Awards  </w:t>
            </w:r>
            <w:r>
              <w:rPr>
                <w:rFonts w:ascii="Times New Roman" w:cs="Times New Roman" w:eastAsia="Times New Roman" w:hAnsi="Times New Roman"/>
                <w:sz w:val="21"/>
                <w:szCs w:val="21"/>
                <w:color w:val="000000"/>
              </w:rPr>
              <w:t>14</w:t>
            </w:r>
          </w:p>
        </w:tc>
        <w:tc>
          <w:tcPr>
            <w:tcW w:w="3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20" w:lineRule="exact"/>
        <w:rPr>
          <w:sz w:val="20"/>
          <w:szCs w:val="20"/>
          <w:color w:val="auto"/>
        </w:rPr>
      </w:pPr>
    </w:p>
    <w:p>
      <w:pPr>
        <w:ind w:left="800" w:hanging="473"/>
        <w:spacing w:after="0"/>
        <w:tabs>
          <w:tab w:leader="none" w:pos="800" w:val="left"/>
        </w:tabs>
        <w:numPr>
          <w:ilvl w:val="0"/>
          <w:numId w:val="13"/>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Vesting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14</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(d)</w:t>
            </w:r>
          </w:p>
        </w:tc>
        <w:tc>
          <w:tcPr>
            <w:tcW w:w="26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21"/>
                <w:szCs w:val="21"/>
                <w:color w:val="0000FF"/>
              </w:rPr>
              <w:t xml:space="preserve">Voting and Dividend Rights  </w:t>
            </w:r>
            <w:r>
              <w:rPr>
                <w:rFonts w:ascii="Times New Roman" w:cs="Times New Roman" w:eastAsia="Times New Roman" w:hAnsi="Times New Roman"/>
                <w:sz w:val="21"/>
                <w:szCs w:val="21"/>
                <w:color w:val="000000"/>
              </w:rPr>
              <w:t>14</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(e)</w:t>
            </w:r>
          </w:p>
        </w:tc>
        <w:tc>
          <w:tcPr>
            <w:tcW w:w="3580" w:type="dxa"/>
            <w:vAlign w:val="bottom"/>
            <w:gridSpan w:val="4"/>
          </w:tcPr>
          <w:p>
            <w:pPr>
              <w:ind w:left="240"/>
              <w:spacing w:after="0"/>
              <w:rPr>
                <w:sz w:val="20"/>
                <w:szCs w:val="20"/>
                <w:color w:val="auto"/>
              </w:rPr>
            </w:pPr>
            <w:r>
              <w:rPr>
                <w:rFonts w:ascii="Times New Roman" w:cs="Times New Roman" w:eastAsia="Times New Roman" w:hAnsi="Times New Roman"/>
                <w:sz w:val="21"/>
                <w:szCs w:val="21"/>
                <w:color w:val="0000FF"/>
              </w:rPr>
              <w:t xml:space="preserve">Restrictions on Transfer of Shares  </w:t>
            </w:r>
            <w:r>
              <w:rPr>
                <w:rFonts w:ascii="Times New Roman" w:cs="Times New Roman" w:eastAsia="Times New Roman" w:hAnsi="Times New Roman"/>
                <w:sz w:val="21"/>
                <w:szCs w:val="21"/>
                <w:color w:val="000000"/>
              </w:rPr>
              <w:t>14</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tabs>
          <w:tab w:leader="none" w:pos="1400" w:val="left"/>
          <w:tab w:leader="none" w:pos="2620" w:val="left"/>
        </w:tabs>
        <w:rPr>
          <w:sz w:val="20"/>
          <w:szCs w:val="20"/>
          <w:color w:val="auto"/>
        </w:rPr>
      </w:pPr>
      <w:r>
        <w:rPr>
          <w:rFonts w:ascii="Times New Roman" w:cs="Times New Roman" w:eastAsia="Times New Roman" w:hAnsi="Times New Roman"/>
          <w:sz w:val="21"/>
          <w:szCs w:val="21"/>
          <w:b w:val="1"/>
          <w:bCs w:val="1"/>
          <w:u w:val="single" w:color="auto"/>
          <w:color w:val="0000FF"/>
        </w:rPr>
        <w:t>SECTION 8.</w:t>
      </w:r>
      <w:r>
        <w:rPr>
          <w:sz w:val="20"/>
          <w:szCs w:val="20"/>
          <w:color w:val="auto"/>
        </w:rPr>
        <w:tab/>
      </w:r>
      <w:r>
        <w:rPr>
          <w:rFonts w:ascii="Times New Roman" w:cs="Times New Roman" w:eastAsia="Times New Roman" w:hAnsi="Times New Roman"/>
          <w:sz w:val="21"/>
          <w:szCs w:val="21"/>
          <w:b w:val="1"/>
          <w:bCs w:val="1"/>
          <w:u w:val="single" w:color="auto"/>
          <w:color w:val="0000FF"/>
        </w:rPr>
        <w:t>OPTIONS.</w:t>
      </w:r>
      <w:r>
        <w:rPr>
          <w:sz w:val="20"/>
          <w:szCs w:val="20"/>
          <w:color w:val="auto"/>
        </w:rPr>
        <w:tab/>
      </w:r>
      <w:r>
        <w:rPr>
          <w:rFonts w:ascii="Times New Roman" w:cs="Times New Roman" w:eastAsia="Times New Roman" w:hAnsi="Times New Roman"/>
          <w:sz w:val="21"/>
          <w:szCs w:val="21"/>
          <w:b w:val="1"/>
          <w:bCs w:val="1"/>
          <w:color w:val="auto"/>
        </w:rPr>
        <w:t>14</w:t>
      </w:r>
    </w:p>
    <w:p>
      <w:pPr>
        <w:spacing w:after="0" w:line="200" w:lineRule="exact"/>
        <w:rPr>
          <w:sz w:val="20"/>
          <w:szCs w:val="20"/>
          <w:color w:val="auto"/>
        </w:rPr>
      </w:pPr>
    </w:p>
    <w:p>
      <w:pPr>
        <w:spacing w:after="0" w:line="2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60"/>
          </w:cols>
          <w:pgMar w:left="320" w:top="1392" w:right="519" w:bottom="1440" w:gutter="0" w:footer="0" w:header="0"/>
        </w:sectPr>
      </w:pPr>
    </w:p>
    <w:bookmarkStart w:id="10" w:name="page11"/>
    <w:bookmarkEnd w:id="10"/>
    <w:tbl>
      <w:tblPr>
        <w:tblLayout w:type="fixed"/>
        <w:tblInd w:w="32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(a)</w:t>
            </w:r>
          </w:p>
        </w:tc>
        <w:tc>
          <w:tcPr>
            <w:tcW w:w="2880" w:type="dxa"/>
            <w:vAlign w:val="bottom"/>
            <w:gridSpan w:val="4"/>
          </w:tcPr>
          <w:p>
            <w:pPr>
              <w:ind w:left="240"/>
              <w:spacing w:after="0"/>
              <w:rPr>
                <w:sz w:val="20"/>
                <w:szCs w:val="20"/>
                <w:color w:val="auto"/>
              </w:rPr>
            </w:pPr>
            <w:r>
              <w:rPr>
                <w:rFonts w:ascii="Times New Roman" w:cs="Times New Roman" w:eastAsia="Times New Roman" w:hAnsi="Times New Roman"/>
                <w:sz w:val="21"/>
                <w:szCs w:val="21"/>
                <w:color w:val="0000FF"/>
              </w:rPr>
              <w:t xml:space="preserve">Option Award Agreement  </w:t>
            </w:r>
            <w:r>
              <w:rPr>
                <w:rFonts w:ascii="Times New Roman" w:cs="Times New Roman" w:eastAsia="Times New Roman" w:hAnsi="Times New Roman"/>
                <w:sz w:val="21"/>
                <w:szCs w:val="21"/>
                <w:color w:val="000000"/>
              </w:rPr>
              <w:t>14</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(b)</w:t>
            </w:r>
          </w:p>
        </w:tc>
        <w:tc>
          <w:tcPr>
            <w:tcW w:w="26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21"/>
                <w:szCs w:val="21"/>
                <w:color w:val="0000FF"/>
              </w:rPr>
              <w:t xml:space="preserve">Number of Shares  </w:t>
            </w:r>
            <w:r>
              <w:rPr>
                <w:rFonts w:ascii="Times New Roman" w:cs="Times New Roman" w:eastAsia="Times New Roman" w:hAnsi="Times New Roman"/>
                <w:sz w:val="21"/>
                <w:szCs w:val="21"/>
                <w:color w:val="000000"/>
              </w:rPr>
              <w:t>14</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20" w:lineRule="exact"/>
        <w:rPr>
          <w:sz w:val="20"/>
          <w:szCs w:val="20"/>
          <w:color w:val="auto"/>
        </w:rPr>
      </w:pPr>
    </w:p>
    <w:p>
      <w:pPr>
        <w:ind w:left="800" w:hanging="473"/>
        <w:spacing w:after="0"/>
        <w:tabs>
          <w:tab w:leader="none" w:pos="800" w:val="left"/>
        </w:tabs>
        <w:numPr>
          <w:ilvl w:val="0"/>
          <w:numId w:val="14"/>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Exercise Price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15</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(d)</w:t>
            </w:r>
          </w:p>
        </w:tc>
        <w:tc>
          <w:tcPr>
            <w:tcW w:w="260" w:type="dxa"/>
            <w:vAlign w:val="bottom"/>
          </w:tcPr>
          <w:p>
            <w:pPr>
              <w:spacing w:after="0"/>
              <w:rPr>
                <w:sz w:val="21"/>
                <w:szCs w:val="21"/>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1"/>
                <w:szCs w:val="21"/>
                <w:color w:val="0000FF"/>
              </w:rPr>
              <w:t xml:space="preserve">Exercisability and Term  </w:t>
            </w:r>
            <w:r>
              <w:rPr>
                <w:rFonts w:ascii="Times New Roman" w:cs="Times New Roman" w:eastAsia="Times New Roman" w:hAnsi="Times New Roman"/>
                <w:sz w:val="21"/>
                <w:szCs w:val="21"/>
                <w:color w:val="000000"/>
              </w:rPr>
              <w:t>15</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(e)</w:t>
            </w:r>
          </w:p>
        </w:tc>
        <w:tc>
          <w:tcPr>
            <w:tcW w:w="2740" w:type="dxa"/>
            <w:vAlign w:val="bottom"/>
            <w:gridSpan w:val="4"/>
          </w:tcPr>
          <w:p>
            <w:pPr>
              <w:ind w:left="240"/>
              <w:spacing w:after="0"/>
              <w:rPr>
                <w:sz w:val="20"/>
                <w:szCs w:val="20"/>
                <w:color w:val="auto"/>
              </w:rPr>
            </w:pPr>
            <w:r>
              <w:rPr>
                <w:rFonts w:ascii="Times New Roman" w:cs="Times New Roman" w:eastAsia="Times New Roman" w:hAnsi="Times New Roman"/>
                <w:sz w:val="21"/>
                <w:szCs w:val="21"/>
                <w:color w:val="0000FF"/>
              </w:rPr>
              <w:t xml:space="preserve">Exercise of Options  </w:t>
            </w:r>
            <w:r>
              <w:rPr>
                <w:rFonts w:ascii="Times New Roman" w:cs="Times New Roman" w:eastAsia="Times New Roman" w:hAnsi="Times New Roman"/>
                <w:sz w:val="21"/>
                <w:szCs w:val="21"/>
                <w:color w:val="000000"/>
              </w:rPr>
              <w:t>15</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20" w:lineRule="exact"/>
        <w:rPr>
          <w:sz w:val="20"/>
          <w:szCs w:val="20"/>
          <w:color w:val="auto"/>
        </w:rPr>
      </w:pPr>
    </w:p>
    <w:p>
      <w:pPr>
        <w:ind w:left="780" w:hanging="453"/>
        <w:spacing w:after="0"/>
        <w:tabs>
          <w:tab w:leader="none" w:pos="780" w:val="left"/>
        </w:tabs>
        <w:numPr>
          <w:ilvl w:val="0"/>
          <w:numId w:val="15"/>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Withholding Taxes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15</w:t>
      </w:r>
    </w:p>
    <w:p>
      <w:pPr>
        <w:spacing w:after="0" w:line="106"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60" w:type="dxa"/>
            <w:vAlign w:val="bottom"/>
          </w:tcPr>
          <w:p>
            <w:pPr>
              <w:spacing w:after="0"/>
              <w:rPr>
                <w:sz w:val="20"/>
                <w:szCs w:val="20"/>
                <w:color w:val="auto"/>
              </w:rPr>
            </w:pPr>
            <w:r>
              <w:rPr>
                <w:rFonts w:ascii="Times New Roman" w:cs="Times New Roman" w:eastAsia="Times New Roman" w:hAnsi="Times New Roman"/>
                <w:sz w:val="21"/>
                <w:szCs w:val="21"/>
                <w:color w:val="0000FF"/>
                <w:w w:val="97"/>
              </w:rPr>
              <w:t>(g)</w:t>
            </w:r>
          </w:p>
        </w:tc>
        <w:tc>
          <w:tcPr>
            <w:tcW w:w="4860" w:type="dxa"/>
            <w:vAlign w:val="bottom"/>
            <w:gridSpan w:val="4"/>
          </w:tcPr>
          <w:p>
            <w:pPr>
              <w:ind w:left="240"/>
              <w:spacing w:after="0"/>
              <w:rPr>
                <w:sz w:val="20"/>
                <w:szCs w:val="20"/>
                <w:color w:val="auto"/>
              </w:rPr>
            </w:pPr>
            <w:r>
              <w:rPr>
                <w:rFonts w:ascii="Times New Roman" w:cs="Times New Roman" w:eastAsia="Times New Roman" w:hAnsi="Times New Roman"/>
                <w:sz w:val="21"/>
                <w:szCs w:val="21"/>
                <w:color w:val="0000FF"/>
              </w:rPr>
              <w:t xml:space="preserve">No Rights as a Stockholder  </w:t>
            </w:r>
            <w:r>
              <w:rPr>
                <w:rFonts w:ascii="Times New Roman" w:cs="Times New Roman" w:eastAsia="Times New Roman" w:hAnsi="Times New Roman"/>
                <w:sz w:val="21"/>
                <w:szCs w:val="21"/>
                <w:color w:val="000000"/>
              </w:rPr>
              <w:t>15</w:t>
            </w:r>
          </w:p>
        </w:tc>
      </w:tr>
      <w:tr>
        <w:trPr>
          <w:trHeight w:val="20"/>
        </w:trPr>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260" w:type="dxa"/>
            <w:vAlign w:val="bottom"/>
          </w:tcPr>
          <w:p>
            <w:pPr>
              <w:spacing w:after="0"/>
              <w:rPr>
                <w:sz w:val="20"/>
                <w:szCs w:val="20"/>
                <w:color w:val="auto"/>
              </w:rPr>
            </w:pPr>
            <w:r>
              <w:rPr>
                <w:rFonts w:ascii="Times New Roman" w:cs="Times New Roman" w:eastAsia="Times New Roman" w:hAnsi="Times New Roman"/>
                <w:sz w:val="21"/>
                <w:szCs w:val="21"/>
                <w:color w:val="0000FF"/>
                <w:w w:val="97"/>
              </w:rPr>
              <w:t>(h)</w:t>
            </w:r>
          </w:p>
        </w:tc>
        <w:tc>
          <w:tcPr>
            <w:tcW w:w="4860" w:type="dxa"/>
            <w:vAlign w:val="bottom"/>
            <w:gridSpan w:val="4"/>
          </w:tcPr>
          <w:p>
            <w:pPr>
              <w:ind w:left="240"/>
              <w:spacing w:after="0"/>
              <w:rPr>
                <w:sz w:val="20"/>
                <w:szCs w:val="20"/>
                <w:color w:val="auto"/>
              </w:rPr>
            </w:pPr>
            <w:r>
              <w:rPr>
                <w:rFonts w:ascii="Times New Roman" w:cs="Times New Roman" w:eastAsia="Times New Roman" w:hAnsi="Times New Roman"/>
                <w:sz w:val="21"/>
                <w:szCs w:val="21"/>
                <w:color w:val="0000FF"/>
              </w:rPr>
              <w:t xml:space="preserve">Modification, Extension and Renewal of Options  </w:t>
            </w:r>
            <w:r>
              <w:rPr>
                <w:rFonts w:ascii="Times New Roman" w:cs="Times New Roman" w:eastAsia="Times New Roman" w:hAnsi="Times New Roman"/>
                <w:sz w:val="21"/>
                <w:szCs w:val="21"/>
                <w:color w:val="000000"/>
              </w:rPr>
              <w:t>15</w:t>
            </w:r>
          </w:p>
        </w:tc>
      </w:tr>
      <w:tr>
        <w:trPr>
          <w:trHeight w:val="20"/>
        </w:trPr>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33" w:lineRule="exact"/>
        <w:rPr>
          <w:sz w:val="20"/>
          <w:szCs w:val="20"/>
          <w:color w:val="auto"/>
        </w:rPr>
      </w:pPr>
    </w:p>
    <w:p>
      <w:pPr>
        <w:ind w:left="760" w:hanging="433"/>
        <w:spacing w:after="0"/>
        <w:tabs>
          <w:tab w:leader="none" w:pos="760" w:val="left"/>
        </w:tabs>
        <w:numPr>
          <w:ilvl w:val="0"/>
          <w:numId w:val="16"/>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Exercise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16</w:t>
      </w:r>
    </w:p>
    <w:p>
      <w:pPr>
        <w:spacing w:after="0" w:line="106"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(j)</w:t>
            </w:r>
          </w:p>
        </w:tc>
        <w:tc>
          <w:tcPr>
            <w:tcW w:w="4440" w:type="dxa"/>
            <w:vAlign w:val="bottom"/>
            <w:gridSpan w:val="5"/>
          </w:tcPr>
          <w:p>
            <w:pPr>
              <w:ind w:left="180"/>
              <w:spacing w:after="0"/>
              <w:rPr>
                <w:sz w:val="20"/>
                <w:szCs w:val="20"/>
                <w:color w:val="auto"/>
              </w:rPr>
            </w:pPr>
            <w:r>
              <w:rPr>
                <w:rFonts w:ascii="Times New Roman" w:cs="Times New Roman" w:eastAsia="Times New Roman" w:hAnsi="Times New Roman"/>
                <w:sz w:val="21"/>
                <w:szCs w:val="21"/>
                <w:color w:val="0000FF"/>
              </w:rPr>
              <w:t xml:space="preserve">Forms of Payment  </w:t>
            </w:r>
            <w:r>
              <w:rPr>
                <w:rFonts w:ascii="Times New Roman" w:cs="Times New Roman" w:eastAsia="Times New Roman" w:hAnsi="Times New Roman"/>
                <w:sz w:val="21"/>
                <w:szCs w:val="21"/>
                <w:color w:val="000000"/>
              </w:rPr>
              <w:t>16</w:t>
            </w:r>
          </w:p>
        </w:tc>
      </w:tr>
      <w:tr>
        <w:trPr>
          <w:trHeight w:val="20"/>
        </w:trPr>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w w:val="97"/>
              </w:rPr>
              <w:t>(k)</w:t>
            </w:r>
          </w:p>
        </w:tc>
        <w:tc>
          <w:tcPr>
            <w:tcW w:w="240" w:type="dxa"/>
            <w:vAlign w:val="bottom"/>
          </w:tcPr>
          <w:p>
            <w:pPr>
              <w:spacing w:after="0"/>
              <w:rPr>
                <w:sz w:val="24"/>
                <w:szCs w:val="24"/>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 xml:space="preserve">Notification upon Disqualifying Disposition  </w:t>
            </w:r>
            <w:r>
              <w:rPr>
                <w:rFonts w:ascii="Times New Roman" w:cs="Times New Roman" w:eastAsia="Times New Roman" w:hAnsi="Times New Roman"/>
                <w:sz w:val="21"/>
                <w:szCs w:val="21"/>
                <w:color w:val="000000"/>
              </w:rPr>
              <w:t>16</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(l)</w:t>
            </w:r>
          </w:p>
        </w:tc>
        <w:tc>
          <w:tcPr>
            <w:tcW w:w="4440" w:type="dxa"/>
            <w:vAlign w:val="bottom"/>
            <w:gridSpan w:val="5"/>
          </w:tcPr>
          <w:p>
            <w:pPr>
              <w:ind w:left="180"/>
              <w:spacing w:after="0"/>
              <w:rPr>
                <w:sz w:val="20"/>
                <w:szCs w:val="20"/>
                <w:color w:val="auto"/>
              </w:rPr>
            </w:pPr>
            <w:r>
              <w:rPr>
                <w:rFonts w:ascii="Times New Roman" w:cs="Times New Roman" w:eastAsia="Times New Roman" w:hAnsi="Times New Roman"/>
                <w:sz w:val="21"/>
                <w:szCs w:val="21"/>
                <w:color w:val="0000FF"/>
              </w:rPr>
              <w:t xml:space="preserve">Restrictions on Transfer of Shares  </w:t>
            </w:r>
            <w:r>
              <w:rPr>
                <w:rFonts w:ascii="Times New Roman" w:cs="Times New Roman" w:eastAsia="Times New Roman" w:hAnsi="Times New Roman"/>
                <w:sz w:val="21"/>
                <w:szCs w:val="21"/>
                <w:color w:val="000000"/>
              </w:rPr>
              <w:t>17</w:t>
            </w:r>
          </w:p>
        </w:tc>
      </w:tr>
      <w:tr>
        <w:trPr>
          <w:trHeight w:val="20"/>
        </w:trPr>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tabs>
          <w:tab w:leader="none" w:pos="1400" w:val="left"/>
          <w:tab w:leader="none" w:pos="4980" w:val="left"/>
        </w:tabs>
        <w:rPr>
          <w:sz w:val="20"/>
          <w:szCs w:val="20"/>
          <w:color w:val="auto"/>
        </w:rPr>
      </w:pPr>
      <w:r>
        <w:rPr>
          <w:rFonts w:ascii="Times New Roman" w:cs="Times New Roman" w:eastAsia="Times New Roman" w:hAnsi="Times New Roman"/>
          <w:sz w:val="21"/>
          <w:szCs w:val="21"/>
          <w:b w:val="1"/>
          <w:bCs w:val="1"/>
          <w:u w:val="single" w:color="auto"/>
          <w:color w:val="0000FF"/>
        </w:rPr>
        <w:t>SECTION 9.</w:t>
      </w:r>
      <w:r>
        <w:rPr>
          <w:sz w:val="20"/>
          <w:szCs w:val="20"/>
          <w:color w:val="auto"/>
        </w:rPr>
        <w:tab/>
      </w:r>
      <w:r>
        <w:rPr>
          <w:rFonts w:ascii="Times New Roman" w:cs="Times New Roman" w:eastAsia="Times New Roman" w:hAnsi="Times New Roman"/>
          <w:sz w:val="21"/>
          <w:szCs w:val="21"/>
          <w:b w:val="1"/>
          <w:bCs w:val="1"/>
          <w:u w:val="single" w:color="auto"/>
          <w:color w:val="0000FF"/>
        </w:rPr>
        <w:t>STOCK APPRECIATION RIGHTS.</w:t>
      </w:r>
      <w:r>
        <w:rPr>
          <w:sz w:val="20"/>
          <w:szCs w:val="20"/>
          <w:color w:val="auto"/>
        </w:rPr>
        <w:tab/>
      </w:r>
      <w:r>
        <w:rPr>
          <w:rFonts w:ascii="Times New Roman" w:cs="Times New Roman" w:eastAsia="Times New Roman" w:hAnsi="Times New Roman"/>
          <w:sz w:val="21"/>
          <w:szCs w:val="21"/>
          <w:b w:val="1"/>
          <w:bCs w:val="1"/>
          <w:color w:val="auto"/>
        </w:rPr>
        <w:t>17</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(a)</w:t>
            </w: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21"/>
                <w:szCs w:val="21"/>
                <w:color w:val="0000FF"/>
              </w:rPr>
              <w:t xml:space="preserve">SAR Award Agreement  </w:t>
            </w:r>
            <w:r>
              <w:rPr>
                <w:rFonts w:ascii="Times New Roman" w:cs="Times New Roman" w:eastAsia="Times New Roman" w:hAnsi="Times New Roman"/>
                <w:sz w:val="21"/>
                <w:szCs w:val="21"/>
                <w:color w:val="000000"/>
              </w:rPr>
              <w:t>17</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4"/>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(b)</w:t>
            </w:r>
          </w:p>
        </w:tc>
        <w:tc>
          <w:tcPr>
            <w:tcW w:w="26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21"/>
                <w:szCs w:val="21"/>
                <w:color w:val="0000FF"/>
              </w:rPr>
              <w:t xml:space="preserve">Number of Shares  </w:t>
            </w:r>
            <w:r>
              <w:rPr>
                <w:rFonts w:ascii="Times New Roman" w:cs="Times New Roman" w:eastAsia="Times New Roman" w:hAnsi="Times New Roman"/>
                <w:sz w:val="21"/>
                <w:szCs w:val="21"/>
                <w:color w:val="000000"/>
              </w:rPr>
              <w:t>17</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20" w:lineRule="exact"/>
        <w:rPr>
          <w:sz w:val="20"/>
          <w:szCs w:val="20"/>
          <w:color w:val="auto"/>
        </w:rPr>
      </w:pPr>
    </w:p>
    <w:p>
      <w:pPr>
        <w:ind w:left="800" w:hanging="473"/>
        <w:spacing w:after="0"/>
        <w:tabs>
          <w:tab w:leader="none" w:pos="800" w:val="left"/>
        </w:tabs>
        <w:numPr>
          <w:ilvl w:val="0"/>
          <w:numId w:val="1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Exercise Price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73"/>
              </w:rPr>
              <w:t>(d)</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rPr>
              <w:t xml:space="preserve">Exercisability and Term  </w:t>
            </w:r>
            <w:r>
              <w:rPr>
                <w:rFonts w:ascii="Times New Roman" w:cs="Times New Roman" w:eastAsia="Times New Roman" w:hAnsi="Times New Roman"/>
                <w:sz w:val="21"/>
                <w:szCs w:val="21"/>
                <w:color w:val="000000"/>
              </w:rPr>
              <w:t>17</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77"/>
              </w:rPr>
              <w:t>(e)</w:t>
            </w:r>
          </w:p>
        </w:tc>
        <w:tc>
          <w:tcPr>
            <w:tcW w:w="240" w:type="dxa"/>
            <w:vAlign w:val="bottom"/>
          </w:tcPr>
          <w:p>
            <w:pPr>
              <w:spacing w:after="0"/>
              <w:rPr>
                <w:sz w:val="24"/>
                <w:szCs w:val="24"/>
                <w:color w:val="auto"/>
              </w:rPr>
            </w:pPr>
          </w:p>
        </w:tc>
        <w:tc>
          <w:tcPr>
            <w:tcW w:w="2580" w:type="dxa"/>
            <w:vAlign w:val="bottom"/>
            <w:gridSpan w:val="9"/>
          </w:tcPr>
          <w:p>
            <w:pPr>
              <w:ind w:left="20"/>
              <w:spacing w:after="0"/>
              <w:rPr>
                <w:sz w:val="20"/>
                <w:szCs w:val="20"/>
                <w:color w:val="auto"/>
              </w:rPr>
            </w:pPr>
            <w:r>
              <w:rPr>
                <w:rFonts w:ascii="Times New Roman" w:cs="Times New Roman" w:eastAsia="Times New Roman" w:hAnsi="Times New Roman"/>
                <w:sz w:val="21"/>
                <w:szCs w:val="21"/>
                <w:color w:val="0000FF"/>
              </w:rPr>
              <w:t xml:space="preserve">Exercise of SARs  </w:t>
            </w:r>
            <w:r>
              <w:rPr>
                <w:rFonts w:ascii="Times New Roman" w:cs="Times New Roman" w:eastAsia="Times New Roman" w:hAnsi="Times New Roman"/>
                <w:sz w:val="21"/>
                <w:szCs w:val="21"/>
                <w:color w:val="000000"/>
              </w:rPr>
              <w:t>18</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85"/>
              </w:rPr>
              <w:t>(f)</w:t>
            </w:r>
          </w:p>
        </w:tc>
        <w:tc>
          <w:tcPr>
            <w:tcW w:w="240" w:type="dxa"/>
            <w:vAlign w:val="bottom"/>
          </w:tcPr>
          <w:p>
            <w:pPr>
              <w:spacing w:after="0"/>
              <w:rPr>
                <w:sz w:val="24"/>
                <w:szCs w:val="24"/>
                <w:color w:val="auto"/>
              </w:rPr>
            </w:pPr>
          </w:p>
        </w:tc>
        <w:tc>
          <w:tcPr>
            <w:tcW w:w="5180" w:type="dxa"/>
            <w:vAlign w:val="bottom"/>
            <w:gridSpan w:val="14"/>
          </w:tcPr>
          <w:p>
            <w:pPr>
              <w:spacing w:after="0"/>
              <w:rPr>
                <w:sz w:val="20"/>
                <w:szCs w:val="20"/>
                <w:color w:val="auto"/>
              </w:rPr>
            </w:pPr>
            <w:r>
              <w:rPr>
                <w:rFonts w:ascii="Times New Roman" w:cs="Times New Roman" w:eastAsia="Times New Roman" w:hAnsi="Times New Roman"/>
                <w:sz w:val="21"/>
                <w:szCs w:val="21"/>
                <w:color w:val="0000FF"/>
              </w:rPr>
              <w:t xml:space="preserve">Modification, Extension or Assumption of SARs  </w:t>
            </w:r>
            <w:r>
              <w:rPr>
                <w:rFonts w:ascii="Times New Roman" w:cs="Times New Roman" w:eastAsia="Times New Roman" w:hAnsi="Times New Roman"/>
                <w:sz w:val="21"/>
                <w:szCs w:val="21"/>
                <w:color w:val="000000"/>
              </w:rPr>
              <w:t>18</w:t>
            </w: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1"/>
        </w:trPr>
        <w:tc>
          <w:tcPr>
            <w:tcW w:w="5960" w:type="dxa"/>
            <w:vAlign w:val="bottom"/>
            <w:gridSpan w:val="17"/>
          </w:tcPr>
          <w:p>
            <w:pPr>
              <w:spacing w:after="0"/>
              <w:rPr>
                <w:sz w:val="20"/>
                <w:szCs w:val="20"/>
                <w:color w:val="auto"/>
              </w:rPr>
            </w:pPr>
            <w:r>
              <w:rPr>
                <w:rFonts w:ascii="Times New Roman" w:cs="Times New Roman" w:eastAsia="Times New Roman" w:hAnsi="Times New Roman"/>
                <w:sz w:val="21"/>
                <w:szCs w:val="21"/>
                <w:b w:val="1"/>
                <w:bCs w:val="1"/>
                <w:color w:val="0000FF"/>
              </w:rPr>
              <w:t xml:space="preserve">SECTION 10.  RESTRICTED STOCK UNITS.  </w:t>
            </w:r>
            <w:r>
              <w:rPr>
                <w:rFonts w:ascii="Times New Roman" w:cs="Times New Roman" w:eastAsia="Times New Roman" w:hAnsi="Times New Roman"/>
                <w:sz w:val="21"/>
                <w:szCs w:val="21"/>
                <w:b w:val="1"/>
                <w:bCs w:val="1"/>
                <w:color w:val="000000"/>
              </w:rPr>
              <w:t>18</w:t>
            </w:r>
          </w:p>
        </w:tc>
      </w:tr>
      <w:tr>
        <w:trPr>
          <w:trHeight w:val="20"/>
        </w:trPr>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77"/>
              </w:rPr>
              <w:t>(a)</w:t>
            </w:r>
          </w:p>
        </w:tc>
        <w:tc>
          <w:tcPr>
            <w:tcW w:w="240" w:type="dxa"/>
            <w:vAlign w:val="bottom"/>
          </w:tcPr>
          <w:p>
            <w:pPr>
              <w:spacing w:after="0"/>
              <w:rPr>
                <w:sz w:val="24"/>
                <w:szCs w:val="24"/>
                <w:color w:val="auto"/>
              </w:rPr>
            </w:pPr>
          </w:p>
        </w:tc>
        <w:tc>
          <w:tcPr>
            <w:tcW w:w="5180" w:type="dxa"/>
            <w:vAlign w:val="bottom"/>
            <w:gridSpan w:val="14"/>
          </w:tcPr>
          <w:p>
            <w:pPr>
              <w:ind w:left="20"/>
              <w:spacing w:after="0"/>
              <w:rPr>
                <w:sz w:val="20"/>
                <w:szCs w:val="20"/>
                <w:color w:val="auto"/>
              </w:rPr>
            </w:pPr>
            <w:r>
              <w:rPr>
                <w:rFonts w:ascii="Times New Roman" w:cs="Times New Roman" w:eastAsia="Times New Roman" w:hAnsi="Times New Roman"/>
                <w:sz w:val="21"/>
                <w:szCs w:val="21"/>
                <w:color w:val="0000FF"/>
              </w:rPr>
              <w:t xml:space="preserve">Restricted Stock Unit Award Agreement  </w:t>
            </w:r>
            <w:r>
              <w:rPr>
                <w:rFonts w:ascii="Times New Roman" w:cs="Times New Roman" w:eastAsia="Times New Roman" w:hAnsi="Times New Roman"/>
                <w:sz w:val="21"/>
                <w:szCs w:val="21"/>
                <w:color w:val="000000"/>
              </w:rPr>
              <w:t>18</w:t>
            </w: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73"/>
              </w:rPr>
              <w:t>(b)</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rPr>
              <w:t xml:space="preserve">Payment for Awards  </w:t>
            </w:r>
            <w:r>
              <w:rPr>
                <w:rFonts w:ascii="Times New Roman" w:cs="Times New Roman" w:eastAsia="Times New Roman" w:hAnsi="Times New Roman"/>
                <w:sz w:val="21"/>
                <w:szCs w:val="21"/>
                <w:color w:val="000000"/>
              </w:rPr>
              <w:t>18</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77"/>
              </w:rPr>
              <w:t>(c)</w:t>
            </w:r>
          </w:p>
        </w:tc>
        <w:tc>
          <w:tcPr>
            <w:tcW w:w="240" w:type="dxa"/>
            <w:vAlign w:val="bottom"/>
          </w:tcPr>
          <w:p>
            <w:pPr>
              <w:spacing w:after="0"/>
              <w:rPr>
                <w:sz w:val="24"/>
                <w:szCs w:val="24"/>
                <w:color w:val="auto"/>
              </w:rPr>
            </w:pPr>
          </w:p>
        </w:tc>
        <w:tc>
          <w:tcPr>
            <w:tcW w:w="2580" w:type="dxa"/>
            <w:vAlign w:val="bottom"/>
            <w:gridSpan w:val="9"/>
          </w:tcPr>
          <w:p>
            <w:pPr>
              <w:ind w:left="20"/>
              <w:spacing w:after="0"/>
              <w:rPr>
                <w:sz w:val="20"/>
                <w:szCs w:val="20"/>
                <w:color w:val="auto"/>
              </w:rPr>
            </w:pPr>
            <w:r>
              <w:rPr>
                <w:rFonts w:ascii="Times New Roman" w:cs="Times New Roman" w:eastAsia="Times New Roman" w:hAnsi="Times New Roman"/>
                <w:sz w:val="21"/>
                <w:szCs w:val="21"/>
                <w:color w:val="0000FF"/>
              </w:rPr>
              <w:t>Vesting Conditions and Term</w:t>
            </w:r>
          </w:p>
        </w:tc>
        <w:tc>
          <w:tcPr>
            <w:tcW w:w="900" w:type="dxa"/>
            <w:vAlign w:val="bottom"/>
          </w:tcPr>
          <w:p>
            <w:pPr>
              <w:jc w:val="right"/>
              <w:ind w:right="433"/>
              <w:spacing w:after="0"/>
              <w:rPr>
                <w:sz w:val="20"/>
                <w:szCs w:val="20"/>
                <w:color w:val="auto"/>
              </w:rPr>
            </w:pPr>
            <w:r>
              <w:rPr>
                <w:rFonts w:ascii="Times New Roman" w:cs="Times New Roman" w:eastAsia="Times New Roman" w:hAnsi="Times New Roman"/>
                <w:sz w:val="21"/>
                <w:szCs w:val="21"/>
                <w:color w:val="auto"/>
              </w:rPr>
              <w:t>18</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38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1"/>
        </w:trPr>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73"/>
              </w:rPr>
              <w:t>(d)</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21"/>
                <w:szCs w:val="21"/>
                <w:color w:val="0000FF"/>
              </w:rPr>
              <w:t>Voting and Dividend Rights</w:t>
            </w: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21"/>
                <w:szCs w:val="21"/>
                <w:color w:val="auto"/>
              </w:rPr>
              <w:t>19</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6"/>
            <w:shd w:val="clear" w:color="auto" w:fill="0000FF"/>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4"/>
        </w:trPr>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77"/>
              </w:rPr>
              <w:t>(e)</w:t>
            </w:r>
          </w:p>
        </w:tc>
        <w:tc>
          <w:tcPr>
            <w:tcW w:w="240" w:type="dxa"/>
            <w:vAlign w:val="bottom"/>
          </w:tcPr>
          <w:p>
            <w:pPr>
              <w:spacing w:after="0"/>
              <w:rPr>
                <w:sz w:val="24"/>
                <w:szCs w:val="24"/>
                <w:color w:val="auto"/>
              </w:rPr>
            </w:pPr>
          </w:p>
        </w:tc>
        <w:tc>
          <w:tcPr>
            <w:tcW w:w="5180" w:type="dxa"/>
            <w:vAlign w:val="bottom"/>
            <w:gridSpan w:val="14"/>
          </w:tcPr>
          <w:p>
            <w:pPr>
              <w:ind w:left="20"/>
              <w:spacing w:after="0"/>
              <w:rPr>
                <w:sz w:val="20"/>
                <w:szCs w:val="20"/>
                <w:color w:val="auto"/>
              </w:rPr>
            </w:pPr>
            <w:r>
              <w:rPr>
                <w:rFonts w:ascii="Times New Roman" w:cs="Times New Roman" w:eastAsia="Times New Roman" w:hAnsi="Times New Roman"/>
                <w:sz w:val="21"/>
                <w:szCs w:val="21"/>
                <w:color w:val="0000FF"/>
              </w:rPr>
              <w:t xml:space="preserve">Form and Time of Settlement of Restricted Stock Units  </w:t>
            </w:r>
            <w:r>
              <w:rPr>
                <w:rFonts w:ascii="Times New Roman" w:cs="Times New Roman" w:eastAsia="Times New Roman" w:hAnsi="Times New Roman"/>
                <w:sz w:val="21"/>
                <w:szCs w:val="21"/>
                <w:color w:val="000000"/>
              </w:rPr>
              <w:t>19</w:t>
            </w: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20" w:lineRule="exact"/>
        <w:rPr>
          <w:sz w:val="20"/>
          <w:szCs w:val="20"/>
          <w:color w:val="auto"/>
        </w:rPr>
      </w:pPr>
    </w:p>
    <w:p>
      <w:pPr>
        <w:ind w:left="780" w:hanging="453"/>
        <w:spacing w:after="0"/>
        <w:tabs>
          <w:tab w:leader="none" w:pos="780" w:val="left"/>
        </w:tabs>
        <w:numPr>
          <w:ilvl w:val="0"/>
          <w:numId w:val="1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Creditors’ Rights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19</w:t>
      </w:r>
    </w:p>
    <w:p>
      <w:pPr>
        <w:spacing w:after="0" w:line="222" w:lineRule="exact"/>
        <w:rPr>
          <w:sz w:val="20"/>
          <w:szCs w:val="20"/>
          <w:color w:val="auto"/>
        </w:rPr>
      </w:pPr>
    </w:p>
    <w:p>
      <w:pPr>
        <w:spacing w:after="0"/>
        <w:tabs>
          <w:tab w:leader="none" w:pos="1500" w:val="left"/>
          <w:tab w:leader="none" w:pos="7140" w:val="left"/>
        </w:tabs>
        <w:rPr>
          <w:sz w:val="20"/>
          <w:szCs w:val="20"/>
          <w:color w:val="auto"/>
        </w:rPr>
      </w:pPr>
      <w:r>
        <w:rPr>
          <w:rFonts w:ascii="Times New Roman" w:cs="Times New Roman" w:eastAsia="Times New Roman" w:hAnsi="Times New Roman"/>
          <w:sz w:val="21"/>
          <w:szCs w:val="21"/>
          <w:b w:val="1"/>
          <w:bCs w:val="1"/>
          <w:u w:val="single" w:color="auto"/>
          <w:color w:val="0000FF"/>
        </w:rPr>
        <w:t>SECTION 11.</w:t>
      </w:r>
      <w:r>
        <w:rPr>
          <w:sz w:val="20"/>
          <w:szCs w:val="20"/>
          <w:color w:val="auto"/>
        </w:rPr>
        <w:tab/>
      </w:r>
      <w:r>
        <w:rPr>
          <w:rFonts w:ascii="Times New Roman" w:cs="Times New Roman" w:eastAsia="Times New Roman" w:hAnsi="Times New Roman"/>
          <w:sz w:val="21"/>
          <w:szCs w:val="21"/>
          <w:b w:val="1"/>
          <w:bCs w:val="1"/>
          <w:u w:val="single" w:color="auto"/>
          <w:color w:val="0000FF"/>
        </w:rPr>
        <w:t>CASH-BASED AWARDS AND STOCK BASED AWARDS.</w:t>
      </w:r>
      <w:r>
        <w:rPr>
          <w:sz w:val="20"/>
          <w:szCs w:val="20"/>
          <w:color w:val="auto"/>
        </w:rPr>
        <w:tab/>
      </w:r>
      <w:r>
        <w:rPr>
          <w:rFonts w:ascii="Times New Roman" w:cs="Times New Roman" w:eastAsia="Times New Roman" w:hAnsi="Times New Roman"/>
          <w:sz w:val="20"/>
          <w:szCs w:val="20"/>
          <w:b w:val="1"/>
          <w:bCs w:val="1"/>
          <w:color w:val="auto"/>
        </w:rPr>
        <w:t>20</w:t>
      </w:r>
    </w:p>
    <w:p>
      <w:pPr>
        <w:spacing w:after="0" w:line="226" w:lineRule="exact"/>
        <w:rPr>
          <w:sz w:val="20"/>
          <w:szCs w:val="20"/>
          <w:color w:val="auto"/>
        </w:rPr>
      </w:pPr>
    </w:p>
    <w:p>
      <w:pPr>
        <w:spacing w:after="0"/>
        <w:tabs>
          <w:tab w:leader="none" w:pos="1500" w:val="left"/>
          <w:tab w:leader="none" w:pos="4500" w:val="left"/>
        </w:tabs>
        <w:rPr>
          <w:sz w:val="20"/>
          <w:szCs w:val="20"/>
          <w:color w:val="auto"/>
        </w:rPr>
      </w:pPr>
      <w:r>
        <w:rPr>
          <w:rFonts w:ascii="Times New Roman" w:cs="Times New Roman" w:eastAsia="Times New Roman" w:hAnsi="Times New Roman"/>
          <w:sz w:val="21"/>
          <w:szCs w:val="21"/>
          <w:b w:val="1"/>
          <w:bCs w:val="1"/>
          <w:u w:val="single" w:color="auto"/>
          <w:color w:val="0000FF"/>
        </w:rPr>
        <w:t>SECTION 12.</w:t>
      </w:r>
      <w:r>
        <w:rPr>
          <w:sz w:val="20"/>
          <w:szCs w:val="20"/>
          <w:color w:val="auto"/>
        </w:rPr>
        <w:tab/>
      </w:r>
      <w:r>
        <w:rPr>
          <w:rFonts w:ascii="Times New Roman" w:cs="Times New Roman" w:eastAsia="Times New Roman" w:hAnsi="Times New Roman"/>
          <w:sz w:val="21"/>
          <w:szCs w:val="21"/>
          <w:b w:val="1"/>
          <w:bCs w:val="1"/>
          <w:u w:val="single" w:color="auto"/>
          <w:color w:val="0000FF"/>
        </w:rPr>
        <w:t>ADJUSTMENT OF SHARES.</w:t>
      </w:r>
      <w:r>
        <w:rPr>
          <w:sz w:val="20"/>
          <w:szCs w:val="20"/>
          <w:color w:val="auto"/>
        </w:rPr>
        <w:tab/>
      </w:r>
      <w:r>
        <w:rPr>
          <w:rFonts w:ascii="Times New Roman" w:cs="Times New Roman" w:eastAsia="Times New Roman" w:hAnsi="Times New Roman"/>
          <w:sz w:val="21"/>
          <w:szCs w:val="21"/>
          <w:b w:val="1"/>
          <w:bCs w:val="1"/>
          <w:color w:val="auto"/>
        </w:rPr>
        <w:t>20</w:t>
      </w:r>
    </w:p>
    <w:p>
      <w:pPr>
        <w:spacing w:after="0" w:line="123" w:lineRule="exact"/>
        <w:rPr>
          <w:sz w:val="20"/>
          <w:szCs w:val="20"/>
          <w:color w:val="auto"/>
        </w:rPr>
      </w:pPr>
    </w:p>
    <w:p>
      <w:pPr>
        <w:ind w:left="320"/>
        <w:spacing w:after="0"/>
        <w:tabs>
          <w:tab w:leader="none" w:pos="780" w:val="left"/>
          <w:tab w:leader="none" w:pos="2080" w:val="left"/>
        </w:tabs>
        <w:rPr>
          <w:sz w:val="20"/>
          <w:szCs w:val="20"/>
          <w:color w:val="auto"/>
        </w:rPr>
      </w:pPr>
      <w:r>
        <w:rPr>
          <w:rFonts w:ascii="Times New Roman" w:cs="Times New Roman" w:eastAsia="Times New Roman" w:hAnsi="Times New Roman"/>
          <w:sz w:val="21"/>
          <w:szCs w:val="21"/>
          <w:u w:val="single" w:color="auto"/>
          <w:color w:val="0000FF"/>
        </w:rPr>
        <w:t>(a)</w:t>
      </w:r>
      <w:r>
        <w:rPr>
          <w:sz w:val="20"/>
          <w:szCs w:val="20"/>
          <w:color w:val="auto"/>
        </w:rPr>
        <w:tab/>
      </w:r>
      <w:r>
        <w:rPr>
          <w:rFonts w:ascii="Times New Roman" w:cs="Times New Roman" w:eastAsia="Times New Roman" w:hAnsi="Times New Roman"/>
          <w:sz w:val="21"/>
          <w:szCs w:val="21"/>
          <w:u w:val="single" w:color="auto"/>
          <w:color w:val="0000FF"/>
        </w:rPr>
        <w:t>Adjustments</w:t>
      </w:r>
      <w:r>
        <w:rPr>
          <w:sz w:val="20"/>
          <w:szCs w:val="20"/>
          <w:color w:val="auto"/>
        </w:rPr>
        <w:tab/>
      </w:r>
      <w:r>
        <w:rPr>
          <w:rFonts w:ascii="Times New Roman" w:cs="Times New Roman" w:eastAsia="Times New Roman" w:hAnsi="Times New Roman"/>
          <w:sz w:val="21"/>
          <w:szCs w:val="21"/>
          <w:color w:val="auto"/>
        </w:rPr>
        <w:t>20</w:t>
      </w:r>
    </w:p>
    <w:p>
      <w:pPr>
        <w:spacing w:after="0" w:line="200" w:lineRule="exact"/>
        <w:rPr>
          <w:sz w:val="20"/>
          <w:szCs w:val="20"/>
          <w:color w:val="auto"/>
        </w:rPr>
      </w:pPr>
    </w:p>
    <w:p>
      <w:pPr>
        <w:spacing w:after="0" w:line="24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139"/>
          </w:cols>
          <w:pgMar w:left="320" w:top="1394" w:right="1440" w:bottom="1440" w:gutter="0" w:footer="0" w:header="0"/>
        </w:sectPr>
      </w:pPr>
    </w:p>
    <w:bookmarkStart w:id="11" w:name="page12"/>
    <w:bookmarkEnd w:id="11"/>
    <w:tbl>
      <w:tblPr>
        <w:tblLayout w:type="fixed"/>
        <w:tblInd w:w="32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(b)</w:t>
            </w:r>
          </w:p>
        </w:tc>
        <w:tc>
          <w:tcPr>
            <w:tcW w:w="240" w:type="dxa"/>
            <w:vAlign w:val="bottom"/>
          </w:tcPr>
          <w:p>
            <w:pPr>
              <w:spacing w:after="0"/>
              <w:rPr>
                <w:sz w:val="21"/>
                <w:szCs w:val="21"/>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21"/>
                <w:szCs w:val="21"/>
                <w:color w:val="0000FF"/>
              </w:rPr>
              <w:t>Dissolution or Liquidation</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21"/>
                <w:szCs w:val="21"/>
                <w:color w:val="auto"/>
              </w:rPr>
              <w:t>21</w:t>
            </w:r>
          </w:p>
        </w:tc>
      </w:tr>
      <w:tr>
        <w:trPr>
          <w:trHeight w:val="20"/>
        </w:trPr>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(c)</w:t>
            </w:r>
          </w:p>
        </w:tc>
        <w:tc>
          <w:tcPr>
            <w:tcW w:w="2680" w:type="dxa"/>
            <w:vAlign w:val="bottom"/>
            <w:gridSpan w:val="6"/>
          </w:tcPr>
          <w:p>
            <w:pPr>
              <w:ind w:left="240"/>
              <w:spacing w:after="0"/>
              <w:rPr>
                <w:sz w:val="20"/>
                <w:szCs w:val="20"/>
                <w:color w:val="auto"/>
              </w:rPr>
            </w:pPr>
            <w:r>
              <w:rPr>
                <w:rFonts w:ascii="Times New Roman" w:cs="Times New Roman" w:eastAsia="Times New Roman" w:hAnsi="Times New Roman"/>
                <w:sz w:val="21"/>
                <w:szCs w:val="21"/>
                <w:color w:val="0000FF"/>
              </w:rPr>
              <w:t>Effect of Change in Control</w:t>
            </w:r>
          </w:p>
        </w:tc>
        <w:tc>
          <w:tcPr>
            <w:tcW w:w="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0"/>
        </w:trPr>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(d)</w:t>
            </w:r>
          </w:p>
        </w:tc>
        <w:tc>
          <w:tcPr>
            <w:tcW w:w="240" w:type="dxa"/>
            <w:vAlign w:val="bottom"/>
          </w:tcPr>
          <w:p>
            <w:pPr>
              <w:spacing w:after="0"/>
              <w:rPr>
                <w:sz w:val="24"/>
                <w:szCs w:val="24"/>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21"/>
                <w:szCs w:val="21"/>
                <w:color w:val="0000FF"/>
              </w:rPr>
              <w:t xml:space="preserve">Reservation of Rights  </w:t>
            </w:r>
            <w:r>
              <w:rPr>
                <w:rFonts w:ascii="Times New Roman" w:cs="Times New Roman" w:eastAsia="Times New Roman" w:hAnsi="Times New Roman"/>
                <w:sz w:val="21"/>
                <w:szCs w:val="21"/>
                <w:color w:val="000000"/>
              </w:rPr>
              <w:t>22</w:t>
            </w:r>
          </w:p>
        </w:tc>
        <w:tc>
          <w:tcPr>
            <w:tcW w:w="380" w:type="dxa"/>
            <w:vAlign w:val="bottom"/>
          </w:tcPr>
          <w:p>
            <w:pPr>
              <w:spacing w:after="0"/>
              <w:rPr>
                <w:sz w:val="24"/>
                <w:szCs w:val="24"/>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tabs>
          <w:tab w:leader="none" w:pos="1500" w:val="left"/>
          <w:tab w:leader="none" w:pos="4260" w:val="left"/>
        </w:tabs>
        <w:rPr>
          <w:sz w:val="20"/>
          <w:szCs w:val="20"/>
          <w:color w:val="auto"/>
        </w:rPr>
      </w:pPr>
      <w:r>
        <w:rPr>
          <w:rFonts w:ascii="Times New Roman" w:cs="Times New Roman" w:eastAsia="Times New Roman" w:hAnsi="Times New Roman"/>
          <w:sz w:val="21"/>
          <w:szCs w:val="21"/>
          <w:b w:val="1"/>
          <w:bCs w:val="1"/>
          <w:u w:val="single" w:color="auto"/>
          <w:color w:val="0000FF"/>
        </w:rPr>
        <w:t>SECTION 13.</w:t>
      </w:r>
      <w:r>
        <w:rPr>
          <w:sz w:val="20"/>
          <w:szCs w:val="20"/>
          <w:color w:val="auto"/>
        </w:rPr>
        <w:tab/>
      </w:r>
      <w:r>
        <w:rPr>
          <w:rFonts w:ascii="Times New Roman" w:cs="Times New Roman" w:eastAsia="Times New Roman" w:hAnsi="Times New Roman"/>
          <w:sz w:val="21"/>
          <w:szCs w:val="21"/>
          <w:b w:val="1"/>
          <w:bCs w:val="1"/>
          <w:u w:val="single" w:color="auto"/>
          <w:color w:val="0000FF"/>
        </w:rPr>
        <w:t>DEFERRAL OF AWARDS.</w:t>
      </w:r>
      <w:r>
        <w:rPr>
          <w:sz w:val="20"/>
          <w:szCs w:val="20"/>
          <w:color w:val="auto"/>
        </w:rPr>
        <w:tab/>
      </w:r>
      <w:r>
        <w:rPr>
          <w:rFonts w:ascii="Times New Roman" w:cs="Times New Roman" w:eastAsia="Times New Roman" w:hAnsi="Times New Roman"/>
          <w:sz w:val="20"/>
          <w:szCs w:val="20"/>
          <w:b w:val="1"/>
          <w:bCs w:val="1"/>
          <w:color w:val="auto"/>
        </w:rPr>
        <w:t>22</w:t>
      </w:r>
    </w:p>
    <w:p>
      <w:pPr>
        <w:spacing w:after="0" w:line="123" w:lineRule="exact"/>
        <w:rPr>
          <w:sz w:val="20"/>
          <w:szCs w:val="20"/>
          <w:color w:val="auto"/>
        </w:rPr>
      </w:pPr>
    </w:p>
    <w:p>
      <w:pPr>
        <w:ind w:left="800" w:hanging="473"/>
        <w:spacing w:after="0"/>
        <w:tabs>
          <w:tab w:leader="none" w:pos="800" w:val="left"/>
        </w:tabs>
        <w:numPr>
          <w:ilvl w:val="0"/>
          <w:numId w:val="1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Committee Powers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22</w:t>
      </w:r>
    </w:p>
    <w:p>
      <w:pPr>
        <w:spacing w:after="0" w:line="119" w:lineRule="exact"/>
        <w:rPr>
          <w:rFonts w:ascii="Times New Roman" w:cs="Times New Roman" w:eastAsia="Times New Roman" w:hAnsi="Times New Roman"/>
          <w:sz w:val="21"/>
          <w:szCs w:val="21"/>
          <w:u w:val="single" w:color="auto"/>
          <w:color w:val="0000FF"/>
        </w:rPr>
      </w:pPr>
    </w:p>
    <w:p>
      <w:pPr>
        <w:ind w:left="820" w:hanging="493"/>
        <w:spacing w:after="0"/>
        <w:tabs>
          <w:tab w:leader="none" w:pos="820" w:val="left"/>
        </w:tabs>
        <w:numPr>
          <w:ilvl w:val="0"/>
          <w:numId w:val="1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General Rules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8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w w:val="99"/>
              </w:rPr>
              <w:t>SECTION 14.</w:t>
            </w:r>
          </w:p>
        </w:tc>
        <w:tc>
          <w:tcPr>
            <w:tcW w:w="240" w:type="dxa"/>
            <w:vAlign w:val="bottom"/>
          </w:tcPr>
          <w:p>
            <w:pPr>
              <w:spacing w:after="0"/>
              <w:rPr>
                <w:sz w:val="21"/>
                <w:szCs w:val="21"/>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0000FF"/>
              </w:rPr>
              <w:t xml:space="preserve">AWARDS UNDER OTHER PLANS.  </w:t>
            </w:r>
            <w:r>
              <w:rPr>
                <w:rFonts w:ascii="Times New Roman" w:cs="Times New Roman" w:eastAsia="Times New Roman" w:hAnsi="Times New Roman"/>
                <w:sz w:val="21"/>
                <w:szCs w:val="21"/>
                <w:b w:val="1"/>
                <w:bCs w:val="1"/>
                <w:color w:val="000000"/>
              </w:rPr>
              <w:t>23</w:t>
            </w:r>
          </w:p>
        </w:tc>
        <w:tc>
          <w:tcPr>
            <w:tcW w:w="440" w:type="dxa"/>
            <w:vAlign w:val="bottom"/>
          </w:tcPr>
          <w:p>
            <w:pPr>
              <w:spacing w:after="0"/>
              <w:rPr>
                <w:sz w:val="21"/>
                <w:szCs w:val="2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48"/>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b w:val="1"/>
                <w:bCs w:val="1"/>
                <w:color w:val="0000FF"/>
                <w:w w:val="99"/>
              </w:rPr>
              <w:t>SECTION 15.</w:t>
            </w:r>
          </w:p>
        </w:tc>
        <w:tc>
          <w:tcPr>
            <w:tcW w:w="240" w:type="dxa"/>
            <w:vAlign w:val="bottom"/>
          </w:tcPr>
          <w:p>
            <w:pPr>
              <w:spacing w:after="0"/>
              <w:rPr>
                <w:sz w:val="24"/>
                <w:szCs w:val="24"/>
                <w:color w:val="auto"/>
              </w:rPr>
            </w:pPr>
          </w:p>
        </w:tc>
        <w:tc>
          <w:tcPr>
            <w:tcW w:w="4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b w:val="1"/>
                <w:bCs w:val="1"/>
                <w:color w:val="0000FF"/>
              </w:rPr>
              <w:t>PAYMENT OF DIRECTOR FEES IN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23</w:t>
            </w:r>
          </w:p>
        </w:tc>
      </w:tr>
      <w:tr>
        <w:trPr>
          <w:trHeight w:val="461"/>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b w:val="1"/>
                <w:bCs w:val="1"/>
                <w:color w:val="0000FF"/>
                <w:w w:val="99"/>
              </w:rPr>
              <w:t>SECTION 16.</w:t>
            </w:r>
          </w:p>
        </w:tc>
        <w:tc>
          <w:tcPr>
            <w:tcW w:w="240" w:type="dxa"/>
            <w:vAlign w:val="bottom"/>
          </w:tcPr>
          <w:p>
            <w:pPr>
              <w:spacing w:after="0"/>
              <w:rPr>
                <w:sz w:val="24"/>
                <w:szCs w:val="24"/>
                <w:color w:val="auto"/>
              </w:rPr>
            </w:pPr>
          </w:p>
        </w:tc>
        <w:tc>
          <w:tcPr>
            <w:tcW w:w="4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1"/>
                <w:szCs w:val="21"/>
                <w:b w:val="1"/>
                <w:bCs w:val="1"/>
                <w:color w:val="0000FF"/>
              </w:rPr>
              <w:t>LEGAL AND REGULATORY REQUIREMENTS.</w:t>
            </w:r>
          </w:p>
        </w:tc>
        <w:tc>
          <w:tcPr>
            <w:tcW w:w="180" w:type="dxa"/>
            <w:vAlign w:val="bottom"/>
          </w:tcPr>
          <w:p>
            <w:pPr>
              <w:spacing w:after="0"/>
              <w:rPr>
                <w:sz w:val="24"/>
                <w:szCs w:val="24"/>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21"/>
                <w:szCs w:val="21"/>
                <w:b w:val="1"/>
                <w:bCs w:val="1"/>
                <w:color w:val="auto"/>
              </w:rPr>
              <w:t>24</w:t>
            </w:r>
          </w:p>
        </w:tc>
      </w:tr>
      <w:tr>
        <w:trPr>
          <w:trHeight w:val="448"/>
        </w:trPr>
        <w:tc>
          <w:tcPr>
            <w:tcW w:w="128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w w:val="99"/>
              </w:rPr>
              <w:t>SECTION 17.</w:t>
            </w:r>
          </w:p>
        </w:tc>
        <w:tc>
          <w:tcPr>
            <w:tcW w:w="240" w:type="dxa"/>
            <w:vAlign w:val="bottom"/>
          </w:tcPr>
          <w:p>
            <w:pPr>
              <w:spacing w:after="0"/>
              <w:rPr>
                <w:sz w:val="24"/>
                <w:szCs w:val="24"/>
                <w:color w:val="auto"/>
              </w:rPr>
            </w:pPr>
          </w:p>
        </w:tc>
        <w:tc>
          <w:tcPr>
            <w:tcW w:w="488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0000FF"/>
              </w:rPr>
              <w:t xml:space="preserve">TAXES.  </w:t>
            </w:r>
            <w:r>
              <w:rPr>
                <w:rFonts w:ascii="Times New Roman" w:cs="Times New Roman" w:eastAsia="Times New Roman" w:hAnsi="Times New Roman"/>
                <w:sz w:val="21"/>
                <w:szCs w:val="21"/>
                <w:b w:val="1"/>
                <w:bCs w:val="1"/>
                <w:color w:val="000000"/>
              </w:rPr>
              <w:t>24</w:t>
            </w:r>
          </w:p>
        </w:tc>
        <w:tc>
          <w:tcPr>
            <w:tcW w:w="440" w:type="dxa"/>
            <w:vAlign w:val="bottom"/>
          </w:tcPr>
          <w:p>
            <w:pPr>
              <w:spacing w:after="0"/>
              <w:rPr>
                <w:sz w:val="24"/>
                <w:szCs w:val="24"/>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20" w:lineRule="exact"/>
        <w:rPr>
          <w:sz w:val="20"/>
          <w:szCs w:val="20"/>
          <w:color w:val="auto"/>
        </w:rPr>
      </w:pPr>
    </w:p>
    <w:p>
      <w:pPr>
        <w:ind w:left="800" w:hanging="473"/>
        <w:spacing w:after="0"/>
        <w:tabs>
          <w:tab w:leader="none" w:pos="800" w:val="left"/>
        </w:tabs>
        <w:numPr>
          <w:ilvl w:val="0"/>
          <w:numId w:val="2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Tax Withholding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24</w:t>
      </w:r>
    </w:p>
    <w:p>
      <w:pPr>
        <w:spacing w:after="0" w:line="119" w:lineRule="exact"/>
        <w:rPr>
          <w:rFonts w:ascii="Times New Roman" w:cs="Times New Roman" w:eastAsia="Times New Roman" w:hAnsi="Times New Roman"/>
          <w:sz w:val="21"/>
          <w:szCs w:val="21"/>
          <w:u w:val="single" w:color="auto"/>
          <w:color w:val="0000FF"/>
        </w:rPr>
      </w:pPr>
    </w:p>
    <w:p>
      <w:pPr>
        <w:ind w:left="820" w:hanging="493"/>
        <w:spacing w:after="0"/>
        <w:tabs>
          <w:tab w:leader="none" w:pos="820" w:val="left"/>
        </w:tabs>
        <w:numPr>
          <w:ilvl w:val="0"/>
          <w:numId w:val="2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Section 409A</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24</w:t>
      </w:r>
    </w:p>
    <w:p>
      <w:pPr>
        <w:spacing w:after="0" w:line="222" w:lineRule="exact"/>
        <w:rPr>
          <w:sz w:val="20"/>
          <w:szCs w:val="20"/>
          <w:color w:val="auto"/>
        </w:rPr>
      </w:pPr>
    </w:p>
    <w:p>
      <w:pPr>
        <w:spacing w:after="0"/>
        <w:tabs>
          <w:tab w:leader="none" w:pos="1500" w:val="left"/>
          <w:tab w:leader="none" w:pos="6100" w:val="left"/>
        </w:tabs>
        <w:rPr>
          <w:sz w:val="20"/>
          <w:szCs w:val="20"/>
          <w:color w:val="auto"/>
        </w:rPr>
      </w:pPr>
      <w:r>
        <w:rPr>
          <w:rFonts w:ascii="Times New Roman" w:cs="Times New Roman" w:eastAsia="Times New Roman" w:hAnsi="Times New Roman"/>
          <w:sz w:val="21"/>
          <w:szCs w:val="21"/>
          <w:b w:val="1"/>
          <w:bCs w:val="1"/>
          <w:u w:val="single" w:color="auto"/>
          <w:color w:val="0000FF"/>
        </w:rPr>
        <w:t>SECTION 18.</w:t>
      </w:r>
      <w:r>
        <w:rPr>
          <w:sz w:val="20"/>
          <w:szCs w:val="20"/>
          <w:color w:val="auto"/>
        </w:rPr>
        <w:tab/>
      </w:r>
      <w:r>
        <w:rPr>
          <w:rFonts w:ascii="Times New Roman" w:cs="Times New Roman" w:eastAsia="Times New Roman" w:hAnsi="Times New Roman"/>
          <w:sz w:val="21"/>
          <w:szCs w:val="21"/>
          <w:b w:val="1"/>
          <w:bCs w:val="1"/>
          <w:u w:val="single" w:color="auto"/>
          <w:color w:val="0000FF"/>
        </w:rPr>
        <w:t>NONTRANSFERABILITY; BENEFICIARIES.</w:t>
      </w:r>
      <w:r>
        <w:rPr>
          <w:sz w:val="20"/>
          <w:szCs w:val="20"/>
          <w:color w:val="auto"/>
        </w:rPr>
        <w:tab/>
      </w:r>
      <w:r>
        <w:rPr>
          <w:rFonts w:ascii="Times New Roman" w:cs="Times New Roman" w:eastAsia="Times New Roman" w:hAnsi="Times New Roman"/>
          <w:sz w:val="20"/>
          <w:szCs w:val="20"/>
          <w:b w:val="1"/>
          <w:bCs w:val="1"/>
          <w:color w:val="auto"/>
        </w:rPr>
        <w:t>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(a)</w:t>
            </w:r>
          </w:p>
        </w:tc>
        <w:tc>
          <w:tcPr>
            <w:tcW w:w="5780" w:type="dxa"/>
            <w:vAlign w:val="bottom"/>
            <w:gridSpan w:val="8"/>
          </w:tcPr>
          <w:p>
            <w:pPr>
              <w:ind w:left="220"/>
              <w:spacing w:after="0"/>
              <w:rPr>
                <w:sz w:val="20"/>
                <w:szCs w:val="20"/>
                <w:color w:val="auto"/>
              </w:rPr>
            </w:pPr>
            <w:r>
              <w:rPr>
                <w:rFonts w:ascii="Times New Roman" w:cs="Times New Roman" w:eastAsia="Times New Roman" w:hAnsi="Times New Roman"/>
                <w:sz w:val="21"/>
                <w:szCs w:val="21"/>
                <w:color w:val="0000FF"/>
              </w:rPr>
              <w:t xml:space="preserve">Nontransferability of Awards  </w:t>
            </w:r>
            <w:r>
              <w:rPr>
                <w:rFonts w:ascii="Times New Roman" w:cs="Times New Roman" w:eastAsia="Times New Roman" w:hAnsi="Times New Roman"/>
                <w:sz w:val="21"/>
                <w:szCs w:val="21"/>
                <w:color w:val="000000"/>
              </w:rPr>
              <w:t>25</w:t>
            </w: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4"/>
        </w:trPr>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w w:val="97"/>
              </w:rPr>
              <w:t>(b)</w:t>
            </w:r>
          </w:p>
        </w:tc>
        <w:tc>
          <w:tcPr>
            <w:tcW w:w="240" w:type="dxa"/>
            <w:vAlign w:val="bottom"/>
          </w:tcPr>
          <w:p>
            <w:pPr>
              <w:spacing w:after="0"/>
              <w:rPr>
                <w:sz w:val="24"/>
                <w:szCs w:val="24"/>
                <w:color w:val="auto"/>
              </w:rPr>
            </w:pPr>
          </w:p>
        </w:tc>
        <w:tc>
          <w:tcPr>
            <w:tcW w:w="5540" w:type="dxa"/>
            <w:vAlign w:val="bottom"/>
            <w:gridSpan w:val="7"/>
          </w:tcPr>
          <w:p>
            <w:pPr>
              <w:spacing w:after="0"/>
              <w:rPr>
                <w:sz w:val="20"/>
                <w:szCs w:val="20"/>
                <w:color w:val="auto"/>
              </w:rPr>
            </w:pPr>
            <w:r>
              <w:rPr>
                <w:rFonts w:ascii="Times New Roman" w:cs="Times New Roman" w:eastAsia="Times New Roman" w:hAnsi="Times New Roman"/>
                <w:sz w:val="21"/>
                <w:szCs w:val="21"/>
                <w:color w:val="0000FF"/>
              </w:rPr>
              <w:t xml:space="preserve">Designation and Change of Beneficiaries  </w:t>
            </w:r>
            <w:r>
              <w:rPr>
                <w:rFonts w:ascii="Times New Roman" w:cs="Times New Roman" w:eastAsia="Times New Roman" w:hAnsi="Times New Roman"/>
                <w:sz w:val="21"/>
                <w:szCs w:val="21"/>
                <w:color w:val="000000"/>
              </w:rPr>
              <w:t>26</w:t>
            </w:r>
          </w:p>
        </w:tc>
      </w:tr>
      <w:tr>
        <w:trPr>
          <w:trHeight w:val="20"/>
        </w:trPr>
        <w:tc>
          <w:tcPr>
            <w:tcW w:w="3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48"/>
        </w:trPr>
        <w:tc>
          <w:tcPr>
            <w:tcW w:w="128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0000FF"/>
                <w:w w:val="99"/>
              </w:rPr>
              <w:t>SECTION 19.</w:t>
            </w:r>
          </w:p>
        </w:tc>
        <w:tc>
          <w:tcPr>
            <w:tcW w:w="240" w:type="dxa"/>
            <w:vAlign w:val="bottom"/>
          </w:tcPr>
          <w:p>
            <w:pPr>
              <w:spacing w:after="0"/>
              <w:rPr>
                <w:sz w:val="24"/>
                <w:szCs w:val="24"/>
                <w:color w:val="auto"/>
              </w:rPr>
            </w:pPr>
          </w:p>
        </w:tc>
        <w:tc>
          <w:tcPr>
            <w:tcW w:w="484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0000FF"/>
              </w:rPr>
              <w:t xml:space="preserve">PERFORMANCE BASED AWARDS.  </w:t>
            </w:r>
            <w:r>
              <w:rPr>
                <w:rFonts w:ascii="Times New Roman" w:cs="Times New Roman" w:eastAsia="Times New Roman" w:hAnsi="Times New Roman"/>
                <w:sz w:val="21"/>
                <w:szCs w:val="21"/>
                <w:b w:val="1"/>
                <w:bCs w:val="1"/>
                <w:color w:val="000000"/>
              </w:rPr>
              <w:t>26</w:t>
            </w:r>
          </w:p>
        </w:tc>
      </w:tr>
      <w:tr>
        <w:trPr>
          <w:trHeight w:val="20"/>
        </w:trPr>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48"/>
        </w:trPr>
        <w:tc>
          <w:tcPr>
            <w:tcW w:w="128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0000FF"/>
                <w:w w:val="99"/>
              </w:rPr>
              <w:t>SECTION 20.</w:t>
            </w:r>
          </w:p>
        </w:tc>
        <w:tc>
          <w:tcPr>
            <w:tcW w:w="240" w:type="dxa"/>
            <w:vAlign w:val="bottom"/>
          </w:tcPr>
          <w:p>
            <w:pPr>
              <w:spacing w:after="0"/>
              <w:rPr>
                <w:sz w:val="24"/>
                <w:szCs w:val="24"/>
                <w:color w:val="auto"/>
              </w:rPr>
            </w:pPr>
          </w:p>
        </w:tc>
        <w:tc>
          <w:tcPr>
            <w:tcW w:w="484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0000FF"/>
              </w:rPr>
              <w:t xml:space="preserve">RECOUPMENT; DETRIMENTAL ACTIVITY.  </w:t>
            </w:r>
            <w:r>
              <w:rPr>
                <w:rFonts w:ascii="Times New Roman" w:cs="Times New Roman" w:eastAsia="Times New Roman" w:hAnsi="Times New Roman"/>
                <w:sz w:val="21"/>
                <w:szCs w:val="21"/>
                <w:b w:val="1"/>
                <w:bCs w:val="1"/>
                <w:color w:val="000000"/>
              </w:rPr>
              <w:t>26</w:t>
            </w:r>
          </w:p>
        </w:tc>
      </w:tr>
      <w:tr>
        <w:trPr>
          <w:trHeight w:val="20"/>
        </w:trPr>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20" w:lineRule="exact"/>
        <w:rPr>
          <w:sz w:val="20"/>
          <w:szCs w:val="20"/>
          <w:color w:val="auto"/>
        </w:rPr>
      </w:pPr>
    </w:p>
    <w:p>
      <w:pPr>
        <w:ind w:left="800" w:hanging="473"/>
        <w:spacing w:after="0"/>
        <w:tabs>
          <w:tab w:leader="none" w:pos="800" w:val="left"/>
        </w:tabs>
        <w:numPr>
          <w:ilvl w:val="0"/>
          <w:numId w:val="2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Recoupment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26</w:t>
      </w:r>
    </w:p>
    <w:p>
      <w:pPr>
        <w:spacing w:after="0" w:line="119" w:lineRule="exact"/>
        <w:rPr>
          <w:rFonts w:ascii="Times New Roman" w:cs="Times New Roman" w:eastAsia="Times New Roman" w:hAnsi="Times New Roman"/>
          <w:sz w:val="21"/>
          <w:szCs w:val="21"/>
          <w:u w:val="single" w:color="auto"/>
          <w:color w:val="0000FF"/>
        </w:rPr>
      </w:pPr>
    </w:p>
    <w:p>
      <w:pPr>
        <w:ind w:left="820" w:hanging="493"/>
        <w:spacing w:after="0"/>
        <w:tabs>
          <w:tab w:leader="none" w:pos="820" w:val="left"/>
        </w:tabs>
        <w:numPr>
          <w:ilvl w:val="0"/>
          <w:numId w:val="2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Detrimental Activity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27</w:t>
      </w:r>
    </w:p>
    <w:p>
      <w:pPr>
        <w:spacing w:after="0" w:line="235" w:lineRule="exact"/>
        <w:rPr>
          <w:sz w:val="20"/>
          <w:szCs w:val="20"/>
          <w:color w:val="auto"/>
        </w:rPr>
      </w:pPr>
    </w:p>
    <w:p>
      <w:pPr>
        <w:spacing w:after="0"/>
        <w:tabs>
          <w:tab w:leader="none" w:pos="1500" w:val="left"/>
          <w:tab w:leader="none" w:pos="7160" w:val="left"/>
        </w:tabs>
        <w:rPr>
          <w:sz w:val="20"/>
          <w:szCs w:val="20"/>
          <w:color w:val="auto"/>
        </w:rPr>
      </w:pPr>
      <w:r>
        <w:rPr>
          <w:rFonts w:ascii="Times New Roman" w:cs="Times New Roman" w:eastAsia="Times New Roman" w:hAnsi="Times New Roman"/>
          <w:sz w:val="21"/>
          <w:szCs w:val="21"/>
          <w:b w:val="1"/>
          <w:bCs w:val="1"/>
          <w:u w:val="single" w:color="auto"/>
          <w:color w:val="0000FF"/>
        </w:rPr>
        <w:t>SECTION 21.</w:t>
      </w:r>
      <w:r>
        <w:rPr>
          <w:sz w:val="20"/>
          <w:szCs w:val="20"/>
          <w:color w:val="auto"/>
        </w:rPr>
        <w:tab/>
      </w:r>
      <w:r>
        <w:rPr>
          <w:rFonts w:ascii="Times New Roman" w:cs="Times New Roman" w:eastAsia="Times New Roman" w:hAnsi="Times New Roman"/>
          <w:sz w:val="21"/>
          <w:szCs w:val="21"/>
          <w:b w:val="1"/>
          <w:bCs w:val="1"/>
          <w:u w:val="single" w:color="auto"/>
          <w:color w:val="0000FF"/>
        </w:rPr>
        <w:t>NO EMPLOYMENT RIGHTS; NO CLAIM TO AWARDS.</w:t>
      </w:r>
      <w:r>
        <w:rPr>
          <w:sz w:val="20"/>
          <w:szCs w:val="20"/>
          <w:color w:val="auto"/>
        </w:rPr>
        <w:tab/>
      </w:r>
      <w:r>
        <w:rPr>
          <w:rFonts w:ascii="Times New Roman" w:cs="Times New Roman" w:eastAsia="Times New Roman" w:hAnsi="Times New Roman"/>
          <w:sz w:val="21"/>
          <w:szCs w:val="21"/>
          <w:b w:val="1"/>
          <w:bCs w:val="1"/>
          <w:color w:val="auto"/>
        </w:rPr>
        <w:t>27</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(a)</w:t>
            </w:r>
          </w:p>
        </w:tc>
        <w:tc>
          <w:tcPr>
            <w:tcW w:w="3340" w:type="dxa"/>
            <w:vAlign w:val="bottom"/>
            <w:gridSpan w:val="5"/>
          </w:tcPr>
          <w:p>
            <w:pPr>
              <w:ind w:left="240"/>
              <w:spacing w:after="0"/>
              <w:rPr>
                <w:sz w:val="20"/>
                <w:szCs w:val="20"/>
                <w:color w:val="auto"/>
              </w:rPr>
            </w:pPr>
            <w:r>
              <w:rPr>
                <w:rFonts w:ascii="Times New Roman" w:cs="Times New Roman" w:eastAsia="Times New Roman" w:hAnsi="Times New Roman"/>
                <w:sz w:val="21"/>
                <w:szCs w:val="21"/>
                <w:color w:val="0000FF"/>
              </w:rPr>
              <w:t xml:space="preserve">No Employment Rights  </w:t>
            </w:r>
            <w:r>
              <w:rPr>
                <w:rFonts w:ascii="Times New Roman" w:cs="Times New Roman" w:eastAsia="Times New Roman" w:hAnsi="Times New Roman"/>
                <w:sz w:val="21"/>
                <w:szCs w:val="21"/>
                <w:color w:val="000000"/>
              </w:rPr>
              <w:t>27</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1"/>
              </w:rPr>
              <w:t>(b)</w:t>
            </w:r>
          </w:p>
        </w:tc>
        <w:tc>
          <w:tcPr>
            <w:tcW w:w="26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 xml:space="preserve">No Claim to Awards  </w:t>
            </w:r>
            <w:r>
              <w:rPr>
                <w:rFonts w:ascii="Times New Roman" w:cs="Times New Roman" w:eastAsia="Times New Roman" w:hAnsi="Times New Roman"/>
                <w:sz w:val="21"/>
                <w:szCs w:val="21"/>
                <w:color w:val="000000"/>
              </w:rPr>
              <w:t>27</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1"/>
        </w:trPr>
        <w:tc>
          <w:tcPr>
            <w:tcW w:w="240" w:type="dxa"/>
            <w:vAlign w:val="bottom"/>
          </w:tcPr>
          <w:p>
            <w:pPr>
              <w:spacing w:after="0"/>
              <w:rPr>
                <w:sz w:val="20"/>
                <w:szCs w:val="20"/>
                <w:color w:val="auto"/>
              </w:rPr>
            </w:pPr>
            <w:r>
              <w:rPr>
                <w:rFonts w:ascii="Times New Roman" w:cs="Times New Roman" w:eastAsia="Times New Roman" w:hAnsi="Times New Roman"/>
                <w:sz w:val="21"/>
                <w:szCs w:val="21"/>
                <w:color w:val="0000FF"/>
                <w:w w:val="85"/>
              </w:rPr>
              <w:t>(c)</w:t>
            </w:r>
          </w:p>
        </w:tc>
        <w:tc>
          <w:tcPr>
            <w:tcW w:w="3340" w:type="dxa"/>
            <w:vAlign w:val="bottom"/>
            <w:gridSpan w:val="5"/>
          </w:tcPr>
          <w:p>
            <w:pPr>
              <w:ind w:left="240"/>
              <w:spacing w:after="0"/>
              <w:rPr>
                <w:sz w:val="20"/>
                <w:szCs w:val="20"/>
                <w:color w:val="auto"/>
              </w:rPr>
            </w:pPr>
            <w:r>
              <w:rPr>
                <w:rFonts w:ascii="Times New Roman" w:cs="Times New Roman" w:eastAsia="Times New Roman" w:hAnsi="Times New Roman"/>
                <w:sz w:val="21"/>
                <w:szCs w:val="21"/>
                <w:color w:val="0000FF"/>
              </w:rPr>
              <w:t xml:space="preserve">No Requirement of Uniformity  </w:t>
            </w:r>
            <w:r>
              <w:rPr>
                <w:rFonts w:ascii="Times New Roman" w:cs="Times New Roman" w:eastAsia="Times New Roman" w:hAnsi="Times New Roman"/>
                <w:sz w:val="21"/>
                <w:szCs w:val="21"/>
                <w:color w:val="000000"/>
              </w:rPr>
              <w:t>27</w:t>
            </w:r>
          </w:p>
        </w:tc>
      </w:tr>
      <w:tr>
        <w:trPr>
          <w:trHeight w:val="20"/>
        </w:trPr>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tabs>
          <w:tab w:leader="none" w:pos="1500" w:val="left"/>
          <w:tab w:leader="none" w:pos="5060" w:val="left"/>
        </w:tabs>
        <w:rPr>
          <w:sz w:val="20"/>
          <w:szCs w:val="20"/>
          <w:color w:val="auto"/>
        </w:rPr>
      </w:pPr>
      <w:r>
        <w:rPr>
          <w:rFonts w:ascii="Times New Roman" w:cs="Times New Roman" w:eastAsia="Times New Roman" w:hAnsi="Times New Roman"/>
          <w:sz w:val="21"/>
          <w:szCs w:val="21"/>
          <w:b w:val="1"/>
          <w:bCs w:val="1"/>
          <w:u w:val="single" w:color="auto"/>
          <w:color w:val="0000FF"/>
        </w:rPr>
        <w:t>SECTION 22.</w:t>
      </w:r>
      <w:r>
        <w:rPr>
          <w:sz w:val="20"/>
          <w:szCs w:val="20"/>
          <w:color w:val="auto"/>
        </w:rPr>
        <w:tab/>
      </w:r>
      <w:r>
        <w:rPr>
          <w:rFonts w:ascii="Times New Roman" w:cs="Times New Roman" w:eastAsia="Times New Roman" w:hAnsi="Times New Roman"/>
          <w:sz w:val="21"/>
          <w:szCs w:val="21"/>
          <w:b w:val="1"/>
          <w:bCs w:val="1"/>
          <w:u w:val="single" w:color="auto"/>
          <w:color w:val="0000FF"/>
        </w:rPr>
        <w:t>DURATION AND AMENDMENTS.</w:t>
      </w:r>
      <w:r>
        <w:rPr>
          <w:sz w:val="20"/>
          <w:szCs w:val="20"/>
          <w:color w:val="auto"/>
        </w:rPr>
        <w:tab/>
      </w:r>
      <w:r>
        <w:rPr>
          <w:rFonts w:ascii="Times New Roman" w:cs="Times New Roman" w:eastAsia="Times New Roman" w:hAnsi="Times New Roman"/>
          <w:sz w:val="21"/>
          <w:szCs w:val="21"/>
          <w:b w:val="1"/>
          <w:bCs w:val="1"/>
          <w:color w:val="auto"/>
        </w:rPr>
        <w:t>27</w:t>
      </w:r>
    </w:p>
    <w:p>
      <w:pPr>
        <w:spacing w:after="0" w:line="123"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(a)</w:t>
            </w:r>
          </w:p>
        </w:tc>
        <w:tc>
          <w:tcPr>
            <w:tcW w:w="3240" w:type="dxa"/>
            <w:vAlign w:val="bottom"/>
            <w:gridSpan w:val="6"/>
          </w:tcPr>
          <w:p>
            <w:pPr>
              <w:ind w:left="220"/>
              <w:spacing w:after="0"/>
              <w:rPr>
                <w:sz w:val="20"/>
                <w:szCs w:val="20"/>
                <w:color w:val="auto"/>
              </w:rPr>
            </w:pPr>
            <w:r>
              <w:rPr>
                <w:rFonts w:ascii="Times New Roman" w:cs="Times New Roman" w:eastAsia="Times New Roman" w:hAnsi="Times New Roman"/>
                <w:sz w:val="21"/>
                <w:szCs w:val="21"/>
                <w:color w:val="0000FF"/>
              </w:rPr>
              <w:t xml:space="preserve">Term of the Plan  </w:t>
            </w:r>
            <w:r>
              <w:rPr>
                <w:rFonts w:ascii="Times New Roman" w:cs="Times New Roman" w:eastAsia="Times New Roman" w:hAnsi="Times New Roman"/>
                <w:sz w:val="21"/>
                <w:szCs w:val="21"/>
                <w:color w:val="000000"/>
              </w:rPr>
              <w:t>27</w:t>
            </w:r>
          </w:p>
        </w:tc>
        <w:tc>
          <w:tcPr>
            <w:tcW w:w="3460" w:type="dxa"/>
            <w:vAlign w:val="bottom"/>
          </w:tcPr>
          <w:p>
            <w:pPr>
              <w:spacing w:after="0"/>
              <w:rPr>
                <w:sz w:val="20"/>
                <w:szCs w:val="20"/>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3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w w:val="97"/>
              </w:rPr>
              <w:t>(b)</w:t>
            </w:r>
          </w:p>
        </w:tc>
        <w:tc>
          <w:tcPr>
            <w:tcW w:w="24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 xml:space="preserve">Right to Amend the Plan  </w:t>
            </w:r>
            <w:r>
              <w:rPr>
                <w:rFonts w:ascii="Times New Roman" w:cs="Times New Roman" w:eastAsia="Times New Roman" w:hAnsi="Times New Roman"/>
                <w:sz w:val="21"/>
                <w:szCs w:val="21"/>
                <w:color w:val="000000"/>
              </w:rPr>
              <w:t>27</w:t>
            </w:r>
          </w:p>
        </w:tc>
        <w:tc>
          <w:tcPr>
            <w:tcW w:w="3460" w:type="dxa"/>
            <w:vAlign w:val="bottom"/>
          </w:tcPr>
          <w:p>
            <w:pPr>
              <w:spacing w:after="0"/>
              <w:rPr>
                <w:sz w:val="24"/>
                <w:szCs w:val="24"/>
                <w:color w:val="auto"/>
              </w:rPr>
            </w:pP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3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(c)</w:t>
            </w:r>
          </w:p>
        </w:tc>
        <w:tc>
          <w:tcPr>
            <w:tcW w:w="3240" w:type="dxa"/>
            <w:vAlign w:val="bottom"/>
            <w:gridSpan w:val="6"/>
          </w:tcPr>
          <w:p>
            <w:pPr>
              <w:ind w:left="220"/>
              <w:spacing w:after="0"/>
              <w:rPr>
                <w:sz w:val="20"/>
                <w:szCs w:val="20"/>
                <w:color w:val="auto"/>
              </w:rPr>
            </w:pPr>
            <w:r>
              <w:rPr>
                <w:rFonts w:ascii="Times New Roman" w:cs="Times New Roman" w:eastAsia="Times New Roman" w:hAnsi="Times New Roman"/>
                <w:sz w:val="21"/>
                <w:szCs w:val="21"/>
                <w:color w:val="0000FF"/>
              </w:rPr>
              <w:t>Effect of Termination of the Plan</w:t>
            </w:r>
          </w:p>
        </w:tc>
        <w:tc>
          <w:tcPr>
            <w:tcW w:w="3460" w:type="dxa"/>
            <w:vAlign w:val="bottom"/>
          </w:tcPr>
          <w:p>
            <w:pPr>
              <w:jc w:val="right"/>
              <w:ind w:right="3125"/>
              <w:spacing w:after="0"/>
              <w:rPr>
                <w:sz w:val="20"/>
                <w:szCs w:val="20"/>
                <w:color w:val="auto"/>
              </w:rPr>
            </w:pPr>
            <w:r>
              <w:rPr>
                <w:rFonts w:ascii="Times New Roman" w:cs="Times New Roman" w:eastAsia="Times New Roman" w:hAnsi="Times New Roman"/>
                <w:sz w:val="21"/>
                <w:szCs w:val="21"/>
                <w:color w:val="auto"/>
              </w:rPr>
              <w:t>28</w:t>
            </w:r>
          </w:p>
        </w:tc>
      </w:tr>
      <w:tr>
        <w:trPr>
          <w:trHeight w:val="20"/>
        </w:trPr>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341"/>
        </w:trPr>
        <w:tc>
          <w:tcPr>
            <w:tcW w:w="260" w:type="dxa"/>
            <w:vAlign w:val="bottom"/>
            <w:gridSpan w:val="2"/>
          </w:tcPr>
          <w:p>
            <w:pPr>
              <w:spacing w:after="0"/>
              <w:rPr>
                <w:sz w:val="20"/>
                <w:szCs w:val="20"/>
                <w:color w:val="auto"/>
              </w:rPr>
            </w:pPr>
            <w:r>
              <w:rPr>
                <w:rFonts w:ascii="Times New Roman" w:cs="Times New Roman" w:eastAsia="Times New Roman" w:hAnsi="Times New Roman"/>
                <w:sz w:val="21"/>
                <w:szCs w:val="21"/>
                <w:color w:val="0000FF"/>
                <w:w w:val="97"/>
              </w:rPr>
              <w:t>(d)</w:t>
            </w:r>
          </w:p>
        </w:tc>
        <w:tc>
          <w:tcPr>
            <w:tcW w:w="24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Amendment of Award Agreements</w:t>
            </w:r>
          </w:p>
        </w:tc>
        <w:tc>
          <w:tcPr>
            <w:tcW w:w="3460" w:type="dxa"/>
            <w:vAlign w:val="bottom"/>
          </w:tcPr>
          <w:p>
            <w:pPr>
              <w:jc w:val="right"/>
              <w:ind w:right="2945"/>
              <w:spacing w:after="0"/>
              <w:rPr>
                <w:sz w:val="20"/>
                <w:szCs w:val="20"/>
                <w:color w:val="auto"/>
              </w:rPr>
            </w:pPr>
            <w:r>
              <w:rPr>
                <w:rFonts w:ascii="Times New Roman" w:cs="Times New Roman" w:eastAsia="Times New Roman" w:hAnsi="Times New Roman"/>
                <w:sz w:val="21"/>
                <w:szCs w:val="21"/>
                <w:color w:val="auto"/>
              </w:rPr>
              <w:t>28</w:t>
            </w:r>
          </w:p>
        </w:tc>
      </w:tr>
      <w:tr>
        <w:trPr>
          <w:trHeight w:val="656"/>
        </w:trPr>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jc w:val="center"/>
              <w:ind w:left="65"/>
              <w:spacing w:after="0"/>
              <w:rPr>
                <w:sz w:val="20"/>
                <w:szCs w:val="20"/>
                <w:color w:val="auto"/>
              </w:rPr>
            </w:pPr>
            <w:r>
              <w:rPr>
                <w:rFonts w:ascii="Times New Roman" w:cs="Times New Roman" w:eastAsia="Times New Roman" w:hAnsi="Times New Roman"/>
                <w:sz w:val="18"/>
                <w:szCs w:val="18"/>
                <w:color w:val="auto"/>
                <w:w w:val="99"/>
              </w:rPr>
              <w:t>Universal Electronics Inc.</w:t>
            </w:r>
          </w:p>
        </w:tc>
      </w:tr>
      <w:tr>
        <w:trPr>
          <w:trHeight w:val="214"/>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jc w:val="center"/>
              <w:ind w:left="45"/>
              <w:spacing w:after="0"/>
              <w:rPr>
                <w:sz w:val="20"/>
                <w:szCs w:val="20"/>
                <w:color w:val="auto"/>
              </w:rPr>
            </w:pPr>
            <w:r>
              <w:rPr>
                <w:rFonts w:ascii="Times New Roman" w:cs="Times New Roman" w:eastAsia="Times New Roman" w:hAnsi="Times New Roman"/>
                <w:sz w:val="18"/>
                <w:szCs w:val="18"/>
                <w:color w:val="auto"/>
                <w:w w:val="98"/>
              </w:rPr>
              <w:t>Amended and Restated</w:t>
            </w:r>
          </w:p>
        </w:tc>
      </w:tr>
      <w:tr>
        <w:trPr>
          <w:trHeight w:val="233"/>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tcPr>
          <w:p>
            <w:pPr>
              <w:jc w:val="center"/>
              <w:ind w:left="45"/>
              <w:spacing w:after="0"/>
              <w:rPr>
                <w:sz w:val="20"/>
                <w:szCs w:val="20"/>
                <w:color w:val="auto"/>
              </w:rPr>
            </w:pPr>
            <w:r>
              <w:rPr>
                <w:rFonts w:ascii="Times New Roman" w:cs="Times New Roman" w:eastAsia="Times New Roman" w:hAnsi="Times New Roman"/>
                <w:sz w:val="18"/>
                <w:szCs w:val="18"/>
                <w:color w:val="auto"/>
                <w:w w:val="98"/>
              </w:rPr>
              <w:t>2018 Equity and Incentive Compensation Plan</w:t>
            </w:r>
          </w:p>
        </w:tc>
      </w:tr>
      <w:tr>
        <w:trPr>
          <w:trHeight w:val="454"/>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jc w:val="center"/>
              <w:ind w:left="65"/>
              <w:spacing w:after="0"/>
              <w:rPr>
                <w:sz w:val="20"/>
                <w:szCs w:val="20"/>
                <w:color w:val="auto"/>
              </w:rPr>
            </w:pPr>
            <w:r>
              <w:rPr>
                <w:rFonts w:ascii="Times New Roman" w:cs="Times New Roman" w:eastAsia="Times New Roman" w:hAnsi="Times New Roman"/>
                <w:sz w:val="18"/>
                <w:szCs w:val="18"/>
                <w:color w:val="auto"/>
                <w:w w:val="92"/>
              </w:rPr>
              <w:t>iii</w:t>
            </w:r>
          </w:p>
        </w:tc>
      </w:tr>
    </w:tbl>
    <w:p>
      <w:pPr>
        <w:sectPr>
          <w:pgSz w:w="11900" w:h="16838" w:orient="portrait"/>
          <w:cols w:equalWidth="0" w:num="1">
            <w:col w:w="10139"/>
          </w:cols>
          <w:pgMar w:left="320" w:top="1394" w:right="1440" w:bottom="1440" w:gutter="0" w:footer="0" w:header="0"/>
        </w:sectPr>
      </w:pPr>
    </w:p>
    <w:bookmarkStart w:id="12" w:name="page13"/>
    <w:bookmarkEnd w:id="12"/>
    <w:p>
      <w:pPr>
        <w:spacing w:after="0" w:line="178" w:lineRule="exact"/>
        <w:rPr>
          <w:sz w:val="20"/>
          <w:szCs w:val="20"/>
          <w:color w:val="auto"/>
        </w:rPr>
      </w:pPr>
    </w:p>
    <w:p>
      <w:pPr>
        <w:ind w:right="1999"/>
        <w:spacing w:after="0" w:line="413" w:lineRule="auto"/>
        <w:rPr>
          <w:sz w:val="20"/>
          <w:szCs w:val="20"/>
          <w:color w:val="auto"/>
        </w:rPr>
      </w:pPr>
      <w:r>
        <w:rPr>
          <w:rFonts w:ascii="Times New Roman" w:cs="Times New Roman" w:eastAsia="Times New Roman" w:hAnsi="Times New Roman"/>
          <w:sz w:val="21"/>
          <w:szCs w:val="21"/>
          <w:b w:val="1"/>
          <w:bCs w:val="1"/>
          <w:u w:val="single" w:color="auto"/>
          <w:color w:val="0000FF"/>
        </w:rPr>
        <w:t>SECTION 23. AWARDS TO PARTICIPANTS OUTSIDE THE UNITED STATES.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000000"/>
        </w:rPr>
        <w:t>28</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SECTION 24. MISCELLANEOUS.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color w:val="000000"/>
        </w:rPr>
        <w:t>29</w:t>
      </w:r>
    </w:p>
    <w:p>
      <w:pPr>
        <w:spacing w:after="0" w:line="1" w:lineRule="exact"/>
        <w:rPr>
          <w:sz w:val="20"/>
          <w:szCs w:val="20"/>
          <w:color w:val="auto"/>
        </w:rPr>
      </w:pPr>
    </w:p>
    <w:p>
      <w:pPr>
        <w:ind w:left="800" w:hanging="473"/>
        <w:spacing w:after="0"/>
        <w:tabs>
          <w:tab w:leader="none" w:pos="800" w:val="left"/>
        </w:tabs>
        <w:numPr>
          <w:ilvl w:val="0"/>
          <w:numId w:val="22"/>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Payment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29</w:t>
      </w:r>
    </w:p>
    <w:p>
      <w:pPr>
        <w:spacing w:after="0" w:line="132" w:lineRule="exact"/>
        <w:rPr>
          <w:rFonts w:ascii="Times New Roman" w:cs="Times New Roman" w:eastAsia="Times New Roman" w:hAnsi="Times New Roman"/>
          <w:sz w:val="21"/>
          <w:szCs w:val="21"/>
          <w:u w:val="single" w:color="auto"/>
          <w:color w:val="0000FF"/>
        </w:rPr>
      </w:pPr>
    </w:p>
    <w:p>
      <w:pPr>
        <w:ind w:left="820" w:hanging="493"/>
        <w:spacing w:after="0"/>
        <w:tabs>
          <w:tab w:leader="none" w:pos="820" w:val="left"/>
        </w:tabs>
        <w:numPr>
          <w:ilvl w:val="0"/>
          <w:numId w:val="22"/>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Governing Law</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29</w:t>
      </w:r>
    </w:p>
    <w:p>
      <w:pPr>
        <w:spacing w:after="0" w:line="200" w:lineRule="exact"/>
        <w:rPr>
          <w:sz w:val="20"/>
          <w:szCs w:val="20"/>
          <w:color w:val="auto"/>
        </w:rPr>
      </w:pPr>
    </w:p>
    <w:p>
      <w:pPr>
        <w:spacing w:after="0" w:line="280" w:lineRule="exact"/>
        <w:rPr>
          <w:sz w:val="20"/>
          <w:szCs w:val="20"/>
          <w:color w:val="auto"/>
        </w:rPr>
      </w:pPr>
    </w:p>
    <w:p>
      <w:pPr>
        <w:ind w:left="820" w:hanging="493"/>
        <w:spacing w:after="0"/>
        <w:tabs>
          <w:tab w:leader="none" w:pos="820" w:val="left"/>
        </w:tabs>
        <w:numPr>
          <w:ilvl w:val="0"/>
          <w:numId w:val="23"/>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Other Agreements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29</w:t>
      </w:r>
    </w:p>
    <w:p>
      <w:pPr>
        <w:spacing w:after="0" w:line="106" w:lineRule="exact"/>
        <w:rPr>
          <w:sz w:val="20"/>
          <w:szCs w:val="20"/>
          <w:color w:val="auto"/>
        </w:rPr>
      </w:pPr>
    </w:p>
    <w:tbl>
      <w:tblPr>
        <w:tblLayout w:type="fixed"/>
        <w:tblInd w:w="320" w:type="dxa"/>
        <w:tblCellMar>
          <w:top w:w="0" w:type="dxa"/>
          <w:left w:w="0" w:type="dxa"/>
          <w:bottom w:w="0" w:type="dxa"/>
          <w:right w:w="0" w:type="dxa"/>
        </w:tblCellMar>
      </w:tblPr>
      <w:tr>
        <w:trPr>
          <w:trHeight w:val="241"/>
        </w:trPr>
        <w:tc>
          <w:tcPr>
            <w:tcW w:w="50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(e)</w:t>
            </w:r>
          </w:p>
        </w:tc>
        <w:tc>
          <w:tcPr>
            <w:tcW w:w="3020" w:type="dxa"/>
            <w:vAlign w:val="bottom"/>
            <w:gridSpan w:val="4"/>
          </w:tcPr>
          <w:p>
            <w:pPr>
              <w:spacing w:after="0"/>
              <w:rPr>
                <w:sz w:val="20"/>
                <w:szCs w:val="20"/>
                <w:color w:val="auto"/>
              </w:rPr>
            </w:pPr>
            <w:r>
              <w:rPr>
                <w:rFonts w:ascii="Times New Roman" w:cs="Times New Roman" w:eastAsia="Times New Roman" w:hAnsi="Times New Roman"/>
                <w:sz w:val="21"/>
                <w:szCs w:val="21"/>
                <w:color w:val="0000FF"/>
              </w:rPr>
              <w:t xml:space="preserve">Relationship to Other Benefits  </w:t>
            </w:r>
            <w:r>
              <w:rPr>
                <w:rFonts w:ascii="Times New Roman" w:cs="Times New Roman" w:eastAsia="Times New Roman" w:hAnsi="Times New Roman"/>
                <w:sz w:val="21"/>
                <w:szCs w:val="21"/>
                <w:color w:val="000000"/>
              </w:rPr>
              <w:t>29</w:t>
            </w:r>
          </w:p>
        </w:tc>
      </w:tr>
      <w:tr>
        <w:trPr>
          <w:trHeight w:val="20"/>
        </w:trPr>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1"/>
        </w:trPr>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85"/>
              </w:rPr>
              <w:t>(f)</w:t>
            </w:r>
          </w:p>
        </w:tc>
        <w:tc>
          <w:tcPr>
            <w:tcW w:w="28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Nonexclusivity of the Plan</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21"/>
                <w:szCs w:val="21"/>
                <w:color w:val="auto"/>
              </w:rPr>
              <w:t>29</w:t>
            </w:r>
          </w:p>
        </w:tc>
      </w:tr>
      <w:tr>
        <w:trPr>
          <w:trHeight w:val="20"/>
        </w:trPr>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54"/>
        </w:trPr>
        <w:tc>
          <w:tcPr>
            <w:tcW w:w="220" w:type="dxa"/>
            <w:vAlign w:val="bottom"/>
          </w:tcPr>
          <w:p>
            <w:pPr>
              <w:spacing w:after="0"/>
              <w:rPr>
                <w:sz w:val="20"/>
                <w:szCs w:val="20"/>
                <w:color w:val="auto"/>
              </w:rPr>
            </w:pPr>
            <w:r>
              <w:rPr>
                <w:rFonts w:ascii="Times New Roman" w:cs="Times New Roman" w:eastAsia="Times New Roman" w:hAnsi="Times New Roman"/>
                <w:sz w:val="21"/>
                <w:szCs w:val="21"/>
                <w:color w:val="0000FF"/>
                <w:w w:val="73"/>
              </w:rPr>
              <w:t>(g)</w:t>
            </w:r>
          </w:p>
        </w:tc>
        <w:tc>
          <w:tcPr>
            <w:tcW w:w="28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1"/>
                <w:szCs w:val="21"/>
                <w:color w:val="0000FF"/>
              </w:rPr>
              <w:t>No Trust or Fund Created</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1"/>
                <w:szCs w:val="21"/>
                <w:color w:val="auto"/>
              </w:rPr>
              <w:t>29</w:t>
            </w:r>
          </w:p>
        </w:tc>
      </w:tr>
      <w:tr>
        <w:trPr>
          <w:trHeight w:val="20"/>
        </w:trPr>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20" w:lineRule="exact"/>
        <w:rPr>
          <w:sz w:val="20"/>
          <w:szCs w:val="20"/>
          <w:color w:val="auto"/>
        </w:rPr>
      </w:pPr>
    </w:p>
    <w:p>
      <w:pPr>
        <w:ind w:left="820" w:hanging="493"/>
        <w:spacing w:after="0"/>
        <w:tabs>
          <w:tab w:leader="none" w:pos="820" w:val="left"/>
        </w:tabs>
        <w:numPr>
          <w:ilvl w:val="0"/>
          <w:numId w:val="24"/>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Fractional Shares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30</w:t>
      </w:r>
    </w:p>
    <w:p>
      <w:pPr>
        <w:spacing w:after="0" w:line="119" w:lineRule="exact"/>
        <w:rPr>
          <w:rFonts w:ascii="Times New Roman" w:cs="Times New Roman" w:eastAsia="Times New Roman" w:hAnsi="Times New Roman"/>
          <w:sz w:val="21"/>
          <w:szCs w:val="21"/>
          <w:u w:val="single" w:color="auto"/>
          <w:color w:val="0000FF"/>
        </w:rPr>
      </w:pPr>
    </w:p>
    <w:p>
      <w:pPr>
        <w:ind w:left="760" w:hanging="433"/>
        <w:spacing w:after="0"/>
        <w:tabs>
          <w:tab w:leader="none" w:pos="760" w:val="left"/>
        </w:tabs>
        <w:numPr>
          <w:ilvl w:val="0"/>
          <w:numId w:val="24"/>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Severability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139"/>
          </w:cols>
          <w:pgMar w:left="320" w:top="1440" w:right="1440" w:bottom="1440" w:gutter="0" w:footer="0" w:header="0"/>
        </w:sectPr>
      </w:pPr>
    </w:p>
    <w:bookmarkStart w:id="13" w:name="page14"/>
    <w:bookmarkEnd w:id="13"/>
    <w:p>
      <w:pPr>
        <w:ind w:left="4060"/>
        <w:spacing w:after="0"/>
        <w:rPr>
          <w:sz w:val="20"/>
          <w:szCs w:val="20"/>
          <w:color w:val="auto"/>
        </w:rPr>
      </w:pPr>
      <w:r>
        <w:rPr>
          <w:rFonts w:ascii="Times New Roman" w:cs="Times New Roman" w:eastAsia="Times New Roman" w:hAnsi="Times New Roman"/>
          <w:sz w:val="20"/>
          <w:szCs w:val="20"/>
          <w:b w:val="1"/>
          <w:bCs w:val="1"/>
          <w:color w:val="auto"/>
        </w:rPr>
        <w:t>UNIVERSAL ELECTRONICS INC.</w:t>
      </w:r>
    </w:p>
    <w:p>
      <w:pPr>
        <w:spacing w:after="0" w:line="1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ind w:left="3040"/>
        <w:spacing w:after="0"/>
        <w:rPr>
          <w:sz w:val="20"/>
          <w:szCs w:val="20"/>
          <w:color w:val="auto"/>
        </w:rPr>
      </w:pPr>
      <w:r>
        <w:rPr>
          <w:rFonts w:ascii="Times New Roman" w:cs="Times New Roman" w:eastAsia="Times New Roman" w:hAnsi="Times New Roman"/>
          <w:sz w:val="20"/>
          <w:szCs w:val="20"/>
          <w:b w:val="1"/>
          <w:bCs w:val="1"/>
          <w:color w:val="auto"/>
        </w:rPr>
        <w:t>2018 EQUITY AND INCENTIVE COMPENSATION PLAN</w:t>
      </w:r>
    </w:p>
    <w:p>
      <w:pPr>
        <w:spacing w:after="0" w:line="15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1.</w:t>
      </w:r>
      <w:r>
        <w:rPr>
          <w:sz w:val="20"/>
          <w:szCs w:val="20"/>
          <w:color w:val="auto"/>
        </w:rPr>
        <w:tab/>
      </w:r>
      <w:r>
        <w:rPr>
          <w:rFonts w:ascii="Times New Roman" w:cs="Times New Roman" w:eastAsia="Times New Roman" w:hAnsi="Times New Roman"/>
          <w:sz w:val="21"/>
          <w:szCs w:val="21"/>
          <w:b w:val="1"/>
          <w:bCs w:val="1"/>
          <w:color w:val="auto"/>
        </w:rPr>
        <w:t>ESTABLISHMENT AND PURPOSE.</w:t>
      </w:r>
    </w:p>
    <w:p>
      <w:pPr>
        <w:spacing w:after="0" w:line="217"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The purpose of the Universal Electronics Inc. 2018 Equity and Incentive Compensation Plan is to provide a means through which the Company may attract and retain key personnel and to provide a means whereby directors, officers, employees, consultants and advisors of the Company and its Subsidiaries (the “</w:t>
      </w:r>
      <w:r>
        <w:rPr>
          <w:rFonts w:ascii="Times New Roman" w:cs="Times New Roman" w:eastAsia="Times New Roman" w:hAnsi="Times New Roman"/>
          <w:sz w:val="21"/>
          <w:szCs w:val="21"/>
          <w:b w:val="1"/>
          <w:bCs w:val="1"/>
          <w:color w:val="auto"/>
        </w:rPr>
        <w:t>Company Group</w:t>
      </w:r>
      <w:r>
        <w:rPr>
          <w:rFonts w:ascii="Times New Roman" w:cs="Times New Roman" w:eastAsia="Times New Roman" w:hAnsi="Times New Roman"/>
          <w:sz w:val="21"/>
          <w:szCs w:val="21"/>
          <w:color w:val="auto"/>
        </w:rPr>
        <w:t>”) can acquire and maintain an equity interest in the Company, or be paid incentive compensation, which may (but need not) be measured by reference to the value of Common Stock, thereby strengthening their commitment to the welfare of the Company Group and aligning their interests with those of the Company’s stockholders. The Plan amends and restates the 2018 Equity and Incentive Compensation Plan effective as of the Restatement Effective Date.</w:t>
      </w:r>
    </w:p>
    <w:p>
      <w:pPr>
        <w:spacing w:after="0" w:line="14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2.</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86" w:lineRule="exact"/>
        <w:rPr>
          <w:sz w:val="20"/>
          <w:szCs w:val="20"/>
          <w:color w:val="auto"/>
        </w:rPr>
      </w:pPr>
    </w:p>
    <w:p>
      <w:pPr>
        <w:ind w:left="1280" w:right="20" w:hanging="632"/>
        <w:spacing w:after="0" w:line="226" w:lineRule="auto"/>
        <w:tabs>
          <w:tab w:leader="none" w:pos="1277"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“Affiliate” </w:t>
      </w:r>
      <w:r>
        <w:rPr>
          <w:rFonts w:ascii="Times New Roman" w:cs="Times New Roman" w:eastAsia="Times New Roman" w:hAnsi="Times New Roman"/>
          <w:sz w:val="21"/>
          <w:szCs w:val="21"/>
          <w:color w:val="auto"/>
        </w:rPr>
        <w:t>means any entity other than a Subsidiary if the Company and/or one or more Subsidiaries own not 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than fifty percent (50%) of such entity.</w:t>
      </w:r>
    </w:p>
    <w:p>
      <w:pPr>
        <w:ind w:left="1280" w:hanging="632"/>
        <w:spacing w:after="0" w:line="212" w:lineRule="auto"/>
        <w:tabs>
          <w:tab w:leader="none" w:pos="127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“Award” </w:t>
      </w:r>
      <w:r>
        <w:rPr>
          <w:rFonts w:ascii="Times New Roman" w:cs="Times New Roman" w:eastAsia="Times New Roman" w:hAnsi="Times New Roman"/>
          <w:sz w:val="21"/>
          <w:szCs w:val="21"/>
          <w:color w:val="auto"/>
        </w:rPr>
        <w:t>means any award of an Option, a SAR, a Restricted Share, a Restricted Stock Unit, an Other Stock-Based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or a Cash-Based Award under the Plan.</w:t>
      </w:r>
    </w:p>
    <w:p>
      <w:pPr>
        <w:ind w:left="1280" w:right="20" w:hanging="632"/>
        <w:spacing w:after="0" w:line="212" w:lineRule="auto"/>
        <w:tabs>
          <w:tab w:leader="none" w:pos="1277"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“Award Agreement” </w:t>
      </w:r>
      <w:r>
        <w:rPr>
          <w:rFonts w:ascii="Times New Roman" w:cs="Times New Roman" w:eastAsia="Times New Roman" w:hAnsi="Times New Roman"/>
          <w:sz w:val="21"/>
          <w:szCs w:val="21"/>
          <w:color w:val="auto"/>
        </w:rPr>
        <w:t>means the agreement between the Company and the recipient of an Award which contains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conditions and restrictions pertaining to such Award.</w:t>
      </w:r>
    </w:p>
    <w:p>
      <w:pPr>
        <w:ind w:left="1280" w:hanging="632"/>
        <w:spacing w:after="0" w:line="212" w:lineRule="auto"/>
        <w:tabs>
          <w:tab w:leader="none" w:pos="12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“Board of Directors”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“Board” </w:t>
      </w:r>
      <w:r>
        <w:rPr>
          <w:rFonts w:ascii="Times New Roman" w:cs="Times New Roman" w:eastAsia="Times New Roman" w:hAnsi="Times New Roman"/>
          <w:sz w:val="21"/>
          <w:szCs w:val="21"/>
          <w:color w:val="auto"/>
        </w:rPr>
        <w:t>means the Board of Directors of the Company, as constituted from time to time.</w:t>
      </w:r>
    </w:p>
    <w:p>
      <w:pPr>
        <w:ind w:left="1280" w:hanging="632"/>
        <w:spacing w:after="0" w:line="212" w:lineRule="auto"/>
        <w:tabs>
          <w:tab w:leader="none" w:pos="12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“Cash-Based Award” </w:t>
      </w:r>
      <w:r>
        <w:rPr>
          <w:rFonts w:ascii="Times New Roman" w:cs="Times New Roman" w:eastAsia="Times New Roman" w:hAnsi="Times New Roman"/>
          <w:sz w:val="21"/>
          <w:szCs w:val="21"/>
          <w:color w:val="auto"/>
        </w:rPr>
        <w:t>means an Award that entitles the Participant to receive a cash-denominated payment.</w:t>
      </w:r>
    </w:p>
    <w:p>
      <w:pPr>
        <w:jc w:val="both"/>
        <w:ind w:left="1280" w:hanging="632"/>
        <w:spacing w:after="0" w:line="215" w:lineRule="auto"/>
        <w:tabs>
          <w:tab w:leader="none" w:pos="12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“Cause” </w:t>
      </w:r>
      <w:r>
        <w:rPr>
          <w:rFonts w:ascii="Times New Roman" w:cs="Times New Roman" w:eastAsia="Times New Roman" w:hAnsi="Times New Roman"/>
          <w:sz w:val="21"/>
          <w:szCs w:val="21"/>
          <w:color w:val="auto"/>
        </w:rPr>
        <w:t>means in the case of a particular Award, unless the applicable Award Agreement states otherwise, (i)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or any Subsidiary having “cause” to terminate a Participant’s employment or service, as defined in any employment or consulting agreement between the Participant and any member of the Company Group in effect at the time of such termination or (ii) in the absence of any such employment or consulting agreement (or the absence of any definition of “Cause” contained therein), the following with respect to a Participant: (a) the commission of a felony or other crime involving moral turpitude or the commission of any act or omission involving dishonesty, disloyalty or fraud in connection with the performance of his or her duties with respect to the Company or any of its Subsidiaries; (b) any conduct in conjunction with his or her duties which could reasonably be expected to, or which does, cause public disgrace or disrepute or significant economic harm to the Company or any of its Subsidiaries; (c) repeated or continuing failure to perform his or her duties that is not cured to the Company’s reasonable satisfaction within fifteen (15) days after written notice thereof (provided, that, such opportunity to cure shall not be available for repeated or habitual violations); (d) a deliberate act of insubordination or repeated refusal to follow reasonable and lawful instructions of supervisors, including engaging in disruptive conduct to the detriment of the Company or any of its Subsidiaries; (e) gross negligence or willful misconduct in connection with the performance of his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92" w:right="339" w:bottom="1440" w:gutter="0" w:footer="0" w:header="0"/>
        </w:sectPr>
      </w:pPr>
    </w:p>
    <w:bookmarkStart w:id="14" w:name="page15"/>
    <w:bookmarkEnd w:id="14"/>
    <w:p>
      <w:pPr>
        <w:jc w:val="both"/>
        <w:ind w:left="640"/>
        <w:spacing w:after="0" w:line="215" w:lineRule="auto"/>
        <w:rPr>
          <w:sz w:val="20"/>
          <w:szCs w:val="20"/>
          <w:color w:val="auto"/>
        </w:rPr>
      </w:pPr>
      <w:r>
        <w:rPr>
          <w:rFonts w:ascii="Times New Roman" w:cs="Times New Roman" w:eastAsia="Times New Roman" w:hAnsi="Times New Roman"/>
          <w:sz w:val="21"/>
          <w:szCs w:val="21"/>
          <w:color w:val="auto"/>
        </w:rPr>
        <w:t>or her duties with respect to the Company or any of its Subsidiaries; (f) obtaining any personal profit not thoroughly disclosed to and approved by the Company in connection with any transaction entered into by, or on behalf of, the Company or any of its Subsidiaries or a breach of his or her fiduciary duties to the Company or any of its Subsidiaries; (g) violating any material terms of the applicable material policies of the Company or any of its Subsidiaries that is not cured to the Company’s reasonable satisfaction within fifteen (15) days after written notice thereof (provided, that, such opportunity to cure shall not be available for repeated or habitual violations); or (h) any breach of any material provision of a written agreement between the Company or any of its Subsidiaries and the Participant which is not cured to the Company’s reasonable satisfaction within fifteen (15) days after written notice thereof.</w:t>
      </w:r>
    </w:p>
    <w:p>
      <w:pPr>
        <w:ind w:left="640" w:hanging="632"/>
        <w:spacing w:after="0"/>
        <w:tabs>
          <w:tab w:leader="none" w:pos="6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shall be deemed to occur upon the first to occur of the following:</w:t>
      </w:r>
    </w:p>
    <w:p>
      <w:pPr>
        <w:jc w:val="both"/>
        <w:ind w:left="1300" w:hanging="651"/>
        <w:spacing w:after="0" w:line="256" w:lineRule="auto"/>
        <w:tabs>
          <w:tab w:leader="none" w:pos="1288"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entity or group (within the meaning of Section 12(d)(3) or 14(d)(2) of the Exchange Act (a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becomes the beneficial owner (within the meaning of Rule 13d-3 promulgated under the Exchange Act) of fifty percent (50%) or more of either (A) the then-outstanding shares of Common Stock of the Company (the “</w:t>
      </w:r>
      <w:r>
        <w:rPr>
          <w:rFonts w:ascii="Times New Roman" w:cs="Times New Roman" w:eastAsia="Times New Roman" w:hAnsi="Times New Roman"/>
          <w:sz w:val="21"/>
          <w:szCs w:val="21"/>
          <w:b w:val="1"/>
          <w:bCs w:val="1"/>
          <w:color w:val="auto"/>
        </w:rPr>
        <w:t>Outstanding Company Common Stock</w:t>
      </w:r>
      <w:r>
        <w:rPr>
          <w:rFonts w:ascii="Times New Roman" w:cs="Times New Roman" w:eastAsia="Times New Roman" w:hAnsi="Times New Roman"/>
          <w:sz w:val="21"/>
          <w:szCs w:val="21"/>
          <w:color w:val="auto"/>
        </w:rPr>
        <w:t>”) or (B) the combined voting power of the then-outstanding voting securities of the Company entitled to vote generally in the election of directors (the “</w:t>
      </w:r>
      <w:r>
        <w:rPr>
          <w:rFonts w:ascii="Times New Roman" w:cs="Times New Roman" w:eastAsia="Times New Roman" w:hAnsi="Times New Roman"/>
          <w:sz w:val="21"/>
          <w:szCs w:val="21"/>
          <w:b w:val="1"/>
          <w:bCs w:val="1"/>
          <w:color w:val="auto"/>
        </w:rPr>
        <w:t>Outstanding Company Voting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purposes herein, the following acquisitions shall not constitute a Change in Control: (I) any acquisition by the Company, (II) any acquisition by any employee benefit plan (or related trust) sponsored or maintained by the Company or any affiliate of the Company, or (III) any acquisition by any corporation pursuant to a transaction that complies with subsections (iii)(A), (iii)(B) and (iii)(C) of this definition below;</w:t>
      </w:r>
    </w:p>
    <w:p>
      <w:pPr>
        <w:spacing w:after="0" w:line="178" w:lineRule="exact"/>
        <w:rPr>
          <w:rFonts w:ascii="Times New Roman" w:cs="Times New Roman" w:eastAsia="Times New Roman" w:hAnsi="Times New Roman"/>
          <w:sz w:val="21"/>
          <w:szCs w:val="21"/>
          <w:color w:val="auto"/>
        </w:rPr>
      </w:pPr>
    </w:p>
    <w:p>
      <w:pPr>
        <w:jc w:val="both"/>
        <w:ind w:left="1300" w:hanging="651"/>
        <w:spacing w:after="0" w:line="258" w:lineRule="auto"/>
        <w:tabs>
          <w:tab w:leader="none" w:pos="1294"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twelve (12) consecutive months, individuals who, as of the date hereof, constitute the Board (the “</w:t>
      </w:r>
      <w:r>
        <w:rPr>
          <w:rFonts w:ascii="Times New Roman" w:cs="Times New Roman" w:eastAsia="Times New Roman" w:hAnsi="Times New Roman"/>
          <w:sz w:val="21"/>
          <w:szCs w:val="21"/>
          <w:b w:val="1"/>
          <w:bCs w:val="1"/>
          <w:color w:val="auto"/>
        </w:rPr>
        <w:t>Incumbent Board</w:t>
      </w:r>
      <w:r>
        <w:rPr>
          <w:rFonts w:ascii="Times New Roman" w:cs="Times New Roman" w:eastAsia="Times New Roman" w:hAnsi="Times New Roman"/>
          <w:sz w:val="21"/>
          <w:szCs w:val="21"/>
          <w:color w:val="auto"/>
        </w:rPr>
        <w:t xml:space="preserve">”) cease for any reason to constitute at least a majority of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8" w:lineRule="exact"/>
        <w:rPr>
          <w:rFonts w:ascii="Times New Roman" w:cs="Times New Roman" w:eastAsia="Times New Roman" w:hAnsi="Times New Roman"/>
          <w:sz w:val="21"/>
          <w:szCs w:val="21"/>
          <w:color w:val="auto"/>
        </w:rPr>
      </w:pPr>
    </w:p>
    <w:p>
      <w:pPr>
        <w:ind w:left="1300" w:hanging="651"/>
        <w:spacing w:after="0" w:line="288" w:lineRule="auto"/>
        <w:tabs>
          <w:tab w:leader="none" w:pos="130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(excluding a reorganization under either Chapter 7 or Chapter 11 of Title 11 of the United States Code), merger, statutory share exchange or consolidation or similar transaction</w:t>
      </w:r>
    </w:p>
    <w:p>
      <w:pPr>
        <w:spacing w:after="0" w:line="200" w:lineRule="exact"/>
        <w:rPr>
          <w:sz w:val="20"/>
          <w:szCs w:val="20"/>
          <w:color w:val="auto"/>
        </w:rPr>
      </w:pPr>
    </w:p>
    <w:p>
      <w:pPr>
        <w:spacing w:after="0" w:line="37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960" w:top="1381" w:right="339" w:bottom="1440" w:gutter="0" w:footer="0" w:header="0"/>
        </w:sectPr>
      </w:pPr>
    </w:p>
    <w:bookmarkStart w:id="15" w:name="page16"/>
    <w:bookmarkEnd w:id="15"/>
    <w:p>
      <w:pPr>
        <w:jc w:val="both"/>
        <w:ind w:left="820"/>
        <w:spacing w:after="0" w:line="270" w:lineRule="auto"/>
        <w:rPr>
          <w:sz w:val="20"/>
          <w:szCs w:val="20"/>
          <w:color w:val="auto"/>
        </w:rPr>
      </w:pPr>
      <w:r>
        <w:rPr>
          <w:rFonts w:ascii="Times New Roman" w:cs="Times New Roman" w:eastAsia="Times New Roman" w:hAnsi="Times New Roman"/>
          <w:sz w:val="21"/>
          <w:szCs w:val="21"/>
          <w:color w:val="auto"/>
        </w:rPr>
        <w:t>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 w:cs="Times New Roman" w:eastAsia="Times New Roman" w:hAnsi="Times New Roman"/>
          <w:sz w:val="21"/>
          <w:szCs w:val="21"/>
          <w:b w:val="1"/>
          <w:bCs w:val="1"/>
          <w:color w:val="auto"/>
        </w:rPr>
        <w:t>Business Combination</w:t>
      </w:r>
      <w:r>
        <w:rPr>
          <w:rFonts w:ascii="Times New Roman" w:cs="Times New Roman" w:eastAsia="Times New Roman" w:hAnsi="Times New Roman"/>
          <w:sz w:val="21"/>
          <w:szCs w:val="21"/>
          <w:color w:val="auto"/>
        </w:rPr>
        <w:t>”), in each case unless, following such Business Combination:</w:t>
      </w:r>
    </w:p>
    <w:p>
      <w:pPr>
        <w:spacing w:after="0" w:line="174" w:lineRule="exact"/>
        <w:rPr>
          <w:sz w:val="20"/>
          <w:szCs w:val="20"/>
          <w:color w:val="auto"/>
        </w:rPr>
      </w:pPr>
    </w:p>
    <w:p>
      <w:pPr>
        <w:jc w:val="both"/>
        <w:ind w:left="1140" w:hanging="320"/>
        <w:spacing w:after="0" w:line="257" w:lineRule="auto"/>
        <w:rPr>
          <w:sz w:val="20"/>
          <w:szCs w:val="20"/>
          <w:color w:val="auto"/>
        </w:rPr>
      </w:pPr>
      <w:r>
        <w:rPr>
          <w:rFonts w:ascii="Times New Roman" w:cs="Times New Roman" w:eastAsia="Times New Roman" w:hAnsi="Times New Roman"/>
          <w:sz w:val="21"/>
          <w:szCs w:val="21"/>
          <w:color w:val="auto"/>
        </w:rPr>
        <w:t>(A)all or substantially all of the individuals and entities that were the beneficial owners of the Outstanding Company Common Stock and the Outstanding Company Voting Securities immediately prior to such Business Combination beneficially own, directly or indirectly, more than fifty percent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w:t>
      </w:r>
    </w:p>
    <w:p>
      <w:pPr>
        <w:spacing w:after="0" w:line="188" w:lineRule="exact"/>
        <w:rPr>
          <w:sz w:val="20"/>
          <w:szCs w:val="20"/>
          <w:color w:val="auto"/>
        </w:rPr>
      </w:pPr>
    </w:p>
    <w:p>
      <w:pPr>
        <w:jc w:val="both"/>
        <w:ind w:left="1140" w:hanging="320"/>
        <w:spacing w:after="0" w:line="262" w:lineRule="auto"/>
        <w:rPr>
          <w:sz w:val="20"/>
          <w:szCs w:val="20"/>
          <w:color w:val="auto"/>
        </w:rPr>
      </w:pPr>
      <w:r>
        <w:rPr>
          <w:rFonts w:ascii="Times New Roman" w:cs="Times New Roman" w:eastAsia="Times New Roman" w:hAnsi="Times New Roman"/>
          <w:sz w:val="21"/>
          <w:szCs w:val="21"/>
          <w:color w:val="auto"/>
        </w:rPr>
        <w:t>(B)no Person (excluding any corporation resulting from such Business Combination or any employee benefit plan (or related trust) of the Company or such corporation resulting from such Business Combination) beneficially owns, directly or indirectly, fifty percent (50%)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w:t>
      </w:r>
    </w:p>
    <w:p>
      <w:pPr>
        <w:spacing w:after="0" w:line="168" w:lineRule="exact"/>
        <w:rPr>
          <w:sz w:val="20"/>
          <w:szCs w:val="20"/>
          <w:color w:val="auto"/>
        </w:rPr>
      </w:pPr>
    </w:p>
    <w:p>
      <w:pPr>
        <w:jc w:val="both"/>
        <w:ind w:left="1140" w:hanging="320"/>
        <w:spacing w:after="0" w:line="264" w:lineRule="auto"/>
        <w:rPr>
          <w:sz w:val="20"/>
          <w:szCs w:val="20"/>
          <w:color w:val="auto"/>
        </w:rPr>
      </w:pPr>
      <w:r>
        <w:rPr>
          <w:rFonts w:ascii="Times New Roman" w:cs="Times New Roman" w:eastAsia="Times New Roman" w:hAnsi="Times New Roman"/>
          <w:sz w:val="21"/>
          <w:szCs w:val="21"/>
          <w:color w:val="auto"/>
        </w:rPr>
        <w:t>(C)at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80" w:lineRule="exact"/>
        <w:rPr>
          <w:sz w:val="20"/>
          <w:szCs w:val="20"/>
          <w:color w:val="auto"/>
        </w:rPr>
      </w:pPr>
    </w:p>
    <w:p>
      <w:pPr>
        <w:ind w:left="800" w:hanging="631"/>
        <w:spacing w:after="0"/>
        <w:tabs>
          <w:tab w:leader="none" w:pos="80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Approval by the stockholders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20"/>
          </w:cols>
          <w:pgMar w:left="1440" w:top="1408" w:right="339" w:bottom="1440" w:gutter="0" w:footer="0" w:header="0"/>
        </w:sectPr>
      </w:pPr>
    </w:p>
    <w:bookmarkStart w:id="16" w:name="page17"/>
    <w:bookmarkEnd w:id="16"/>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Any other provision of this (g)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 or on account of any transaction or series of transactions principally for bona fide equity financing purposes in which cash is received by the Company or any successor or indebtedness of the Company is cancelled or converted or a combination thereof.</w:t>
      </w:r>
    </w:p>
    <w:p>
      <w:pPr>
        <w:spacing w:after="0" w:line="173"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Notwithstanding the foregoing, a Change in Control shall not be deemed to occur under the Plan unless the event(s) constituting a Change in Control also constitute a “change in the ownership” of the Company, a “change in effective control” of the Company, or a “change in the ownership of a substantial portion of the assets” of the Company under Treasury Regulations §1.409A-3(i)(5), or any successor provision.</w:t>
      </w:r>
    </w:p>
    <w:p>
      <w:pPr>
        <w:spacing w:after="0" w:line="133" w:lineRule="exact"/>
        <w:rPr>
          <w:sz w:val="20"/>
          <w:szCs w:val="20"/>
          <w:color w:val="auto"/>
        </w:rPr>
      </w:pPr>
    </w:p>
    <w:p>
      <w:pPr>
        <w:jc w:val="both"/>
        <w:ind w:left="1280" w:hanging="632"/>
        <w:spacing w:after="0" w:line="219" w:lineRule="auto"/>
        <w:tabs>
          <w:tab w:leader="none" w:pos="127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“Code” </w:t>
      </w:r>
      <w:r>
        <w:rPr>
          <w:rFonts w:ascii="Times New Roman" w:cs="Times New Roman" w:eastAsia="Times New Roman" w:hAnsi="Times New Roman"/>
          <w:sz w:val="21"/>
          <w:szCs w:val="21"/>
          <w:color w:val="auto"/>
        </w:rPr>
        <w:t>means the United States Internal Revenue Code of 1986, as amended, and the rules and 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promulgated thereunder. Reference in the Plan to any section of the Code shall be deemed to include any regulations or other interpretative guidance under such section, and any amendments or successor provisions to such section, regulations or guidance.</w:t>
      </w:r>
    </w:p>
    <w:p>
      <w:pPr>
        <w:spacing w:after="0" w:line="1" w:lineRule="exact"/>
        <w:rPr>
          <w:rFonts w:ascii="Times New Roman" w:cs="Times New Roman" w:eastAsia="Times New Roman" w:hAnsi="Times New Roman"/>
          <w:sz w:val="21"/>
          <w:szCs w:val="21"/>
          <w:color w:val="auto"/>
        </w:rPr>
      </w:pPr>
    </w:p>
    <w:p>
      <w:pPr>
        <w:ind w:left="1280" w:hanging="632"/>
        <w:spacing w:after="0" w:line="212" w:lineRule="auto"/>
        <w:tabs>
          <w:tab w:leader="none" w:pos="126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“Committee” </w:t>
      </w:r>
      <w:r>
        <w:rPr>
          <w:rFonts w:ascii="Times New Roman" w:cs="Times New Roman" w:eastAsia="Times New Roman" w:hAnsi="Times New Roman"/>
          <w:sz w:val="21"/>
          <w:szCs w:val="21"/>
          <w:color w:val="auto"/>
        </w:rPr>
        <w:t>means the Compensation Committee as designated by the Board which is authorized to administer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as described in Section 3 hereof.</w:t>
      </w:r>
    </w:p>
    <w:p>
      <w:pPr>
        <w:ind w:left="1280" w:hanging="632"/>
        <w:spacing w:after="0" w:line="212" w:lineRule="auto"/>
        <w:tabs>
          <w:tab w:leader="none" w:pos="12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“Company” </w:t>
      </w:r>
      <w:r>
        <w:rPr>
          <w:rFonts w:ascii="Times New Roman" w:cs="Times New Roman" w:eastAsia="Times New Roman" w:hAnsi="Times New Roman"/>
          <w:sz w:val="21"/>
          <w:szCs w:val="21"/>
          <w:color w:val="auto"/>
        </w:rPr>
        <w:t>means Universal Electronics Inc., a Delaware corporation, including any successor thereto.</w:t>
      </w:r>
    </w:p>
    <w:p>
      <w:pPr>
        <w:jc w:val="both"/>
        <w:ind w:left="1280" w:hanging="632"/>
        <w:spacing w:after="0" w:line="212" w:lineRule="auto"/>
        <w:tabs>
          <w:tab w:leader="none" w:pos="127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“Confidential Information” </w:t>
      </w:r>
      <w:r>
        <w:rPr>
          <w:rFonts w:ascii="Times New Roman" w:cs="Times New Roman" w:eastAsia="Times New Roman" w:hAnsi="Times New Roman"/>
          <w:sz w:val="21"/>
          <w:szCs w:val="21"/>
          <w:color w:val="auto"/>
        </w:rPr>
        <w:t>means any data, information or documentation (including such that is received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parties) that is competitively sensitive or commercially valuable and not generally known to the public, including data, information or documentation related or pertaining to: (i) finance, supply or service, (ii) customers, suppliers or consumers, including customer lists, relationships and profiles, (iii)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and/or (iv) scientific or technical information, design, process, procedure, formula or improvement, computer software, object code, source code, specifications, inventions or systems information, whether or not patentable or copyrightable, and that is not otherwise a Trade Secret.</w:t>
      </w:r>
    </w:p>
    <w:p>
      <w:pPr>
        <w:spacing w:after="0" w:line="3"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“Consultant”</w:t>
      </w:r>
    </w:p>
    <w:p>
      <w:pPr>
        <w:spacing w:after="0" w:line="189"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means an individual who is a consultant or advisor and who provides bona fide services to the Company, a Parent, a Subsidiary, or an Affiliate as an independent contractor (not including service as a member of the Board) or a member of the board of directors of a Parent or a Subsidiary, in each case who is not an Employee.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8" w:right="339" w:bottom="1440" w:gutter="0" w:footer="0" w:header="0"/>
        </w:sectPr>
      </w:pPr>
    </w:p>
    <w:bookmarkStart w:id="17" w:name="page18"/>
    <w:bookmarkEnd w:id="17"/>
    <w:p>
      <w:pPr>
        <w:ind w:left="640" w:right="20" w:hanging="632"/>
        <w:spacing w:after="0" w:line="226" w:lineRule="auto"/>
        <w:tabs>
          <w:tab w:leader="none" w:pos="62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“Date of Grant” </w:t>
      </w:r>
      <w:r>
        <w:rPr>
          <w:rFonts w:ascii="Times New Roman" w:cs="Times New Roman" w:eastAsia="Times New Roman" w:hAnsi="Times New Roman"/>
          <w:sz w:val="21"/>
          <w:szCs w:val="21"/>
          <w:color w:val="auto"/>
        </w:rPr>
        <w:t>means the date on which the granting of an Award is authorized, or such other date as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specified in such authorization, subject to compliance with applicable tax and securities laws.</w:t>
      </w:r>
    </w:p>
    <w:p>
      <w:pPr>
        <w:jc w:val="both"/>
        <w:ind w:left="640" w:hanging="632"/>
        <w:spacing w:after="0" w:line="225"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“Detrimental Activity” </w:t>
      </w:r>
      <w:r>
        <w:rPr>
          <w:rFonts w:ascii="Times New Roman" w:cs="Times New Roman" w:eastAsia="Times New Roman" w:hAnsi="Times New Roman"/>
          <w:sz w:val="21"/>
          <w:szCs w:val="21"/>
          <w:color w:val="auto"/>
        </w:rPr>
        <w:t>means any of the following: (i) unauthorized use, disclosure or dissemination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Information or Trade Secrets pertaining to the business of any member of the Company Group; (ii) any activity that would be grounds to terminate the Participant’s employment or service with any member of the Company Group for Cause; or (iii) a breach by the Participant of any restrictive covenant by which such Participant is bound, including, without limitation, any covenant not to compete or not to solicit, in any agreement with any member of the Company Group; provided, however, that the activity described under clause (i) of this definition does not apply to (1) any Confidential Information which has become generally known to competitors of any member of the Company Group through no act or omission by the Participant or (2) a Participant’s communications that are required by law or judicial process (e.g., subpoena). Further, this definition does not preclude a Participant from communicating, cooperating or filing a complaint with any U.S. federal, state or local governmental or law enforcement branch, agency or entity (collectively, a “</w:t>
      </w:r>
      <w:r>
        <w:rPr>
          <w:rFonts w:ascii="Times New Roman" w:cs="Times New Roman" w:eastAsia="Times New Roman" w:hAnsi="Times New Roman"/>
          <w:sz w:val="21"/>
          <w:szCs w:val="21"/>
          <w:b w:val="1"/>
          <w:bCs w:val="1"/>
          <w:color w:val="auto"/>
        </w:rPr>
        <w:t>Governmental Entity</w:t>
      </w:r>
      <w:r>
        <w:rPr>
          <w:rFonts w:ascii="Times New Roman" w:cs="Times New Roman" w:eastAsia="Times New Roman" w:hAnsi="Times New Roman"/>
          <w:sz w:val="21"/>
          <w:szCs w:val="21"/>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Company Group’s attorney-client privilege or attorney work product or Trade Secrets without prior written consent of the Board or its designee.</w:t>
      </w:r>
    </w:p>
    <w:p>
      <w:pPr>
        <w:spacing w:after="0" w:line="11" w:lineRule="exact"/>
        <w:rPr>
          <w:rFonts w:ascii="Times New Roman" w:cs="Times New Roman" w:eastAsia="Times New Roman" w:hAnsi="Times New Roman"/>
          <w:sz w:val="21"/>
          <w:szCs w:val="21"/>
          <w:color w:val="auto"/>
        </w:rPr>
      </w:pPr>
    </w:p>
    <w:p>
      <w:pPr>
        <w:jc w:val="both"/>
        <w:ind w:left="640" w:hanging="632"/>
        <w:spacing w:after="0" w:line="212"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“Disability” </w:t>
      </w:r>
      <w:r>
        <w:rPr>
          <w:rFonts w:ascii="Times New Roman" w:cs="Times New Roman" w:eastAsia="Times New Roman" w:hAnsi="Times New Roman"/>
          <w:sz w:val="21"/>
          <w:szCs w:val="21"/>
          <w:color w:val="auto"/>
        </w:rPr>
        <w:t>means any permanent and total disability as defined by Section 22(e)(3) of the Code, or in the case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Participant outside the United States, such other definition as determined by the Committee for purposes of the Plan taking into consideration the provisions of applicable law.</w:t>
      </w:r>
    </w:p>
    <w:p>
      <w:pPr>
        <w:spacing w:after="0" w:line="1" w:lineRule="exact"/>
        <w:rPr>
          <w:rFonts w:ascii="Times New Roman" w:cs="Times New Roman" w:eastAsia="Times New Roman" w:hAnsi="Times New Roman"/>
          <w:sz w:val="21"/>
          <w:szCs w:val="21"/>
          <w:color w:val="auto"/>
        </w:rPr>
      </w:pPr>
    </w:p>
    <w:p>
      <w:pPr>
        <w:ind w:left="640" w:hanging="632"/>
        <w:spacing w:after="0" w:line="212"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“Employee” </w:t>
      </w:r>
      <w:r>
        <w:rPr>
          <w:rFonts w:ascii="Times New Roman" w:cs="Times New Roman" w:eastAsia="Times New Roman" w:hAnsi="Times New Roman"/>
          <w:sz w:val="21"/>
          <w:szCs w:val="21"/>
          <w:color w:val="auto"/>
        </w:rPr>
        <w:t>means any individual who is a common-law employee of the Company, a Parent, a Subsidiary, or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w:t>
      </w:r>
    </w:p>
    <w:p>
      <w:pPr>
        <w:jc w:val="both"/>
        <w:ind w:left="640" w:hanging="632"/>
        <w:spacing w:after="0" w:line="212"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“Exchange Act” </w:t>
      </w:r>
      <w:r>
        <w:rPr>
          <w:rFonts w:ascii="Times New Roman" w:cs="Times New Roman" w:eastAsia="Times New Roman" w:hAnsi="Times New Roman"/>
          <w:sz w:val="21"/>
          <w:szCs w:val="21"/>
          <w:color w:val="auto"/>
        </w:rPr>
        <w:t>means the United States Securities Exchange Act of 1934, as amended. Reference in the Plan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section of the Exchange Act shall be deemed to include any regulations or other interpretative guidance under such section, and any amendments or successor provisions to such section, regulations or guidance.</w:t>
      </w:r>
    </w:p>
    <w:p>
      <w:pPr>
        <w:spacing w:after="0" w:line="1" w:lineRule="exact"/>
        <w:rPr>
          <w:rFonts w:ascii="Times New Roman" w:cs="Times New Roman" w:eastAsia="Times New Roman" w:hAnsi="Times New Roman"/>
          <w:sz w:val="21"/>
          <w:szCs w:val="21"/>
          <w:color w:val="auto"/>
        </w:rPr>
      </w:pPr>
    </w:p>
    <w:p>
      <w:pPr>
        <w:jc w:val="both"/>
        <w:ind w:left="640" w:hanging="632"/>
        <w:spacing w:after="0" w:line="212" w:lineRule="auto"/>
        <w:tabs>
          <w:tab w:leader="none" w:pos="6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“Exercise Price” </w:t>
      </w:r>
      <w:r>
        <w:rPr>
          <w:rFonts w:ascii="Times New Roman" w:cs="Times New Roman" w:eastAsia="Times New Roman" w:hAnsi="Times New Roman"/>
          <w:sz w:val="21"/>
          <w:szCs w:val="21"/>
          <w:color w:val="auto"/>
        </w:rPr>
        <w:t>means, in the case of an Option, the amount for which one Share may be purchased upon exercise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spacing w:after="0" w:line="1" w:lineRule="exact"/>
        <w:rPr>
          <w:rFonts w:ascii="Times New Roman" w:cs="Times New Roman" w:eastAsia="Times New Roman" w:hAnsi="Times New Roman"/>
          <w:sz w:val="21"/>
          <w:szCs w:val="21"/>
          <w:color w:val="auto"/>
        </w:rPr>
      </w:pPr>
    </w:p>
    <w:p>
      <w:pPr>
        <w:ind w:left="640" w:hanging="632"/>
        <w:spacing w:after="0" w:line="212" w:lineRule="auto"/>
        <w:tabs>
          <w:tab w:leader="none" w:pos="63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“Fair Market Value” </w:t>
      </w:r>
      <w:r>
        <w:rPr>
          <w:rFonts w:ascii="Times New Roman" w:cs="Times New Roman" w:eastAsia="Times New Roman" w:hAnsi="Times New Roman"/>
          <w:sz w:val="21"/>
          <w:szCs w:val="21"/>
          <w:color w:val="auto"/>
        </w:rPr>
        <w:t>with respect to a Share means the market price of one Share determined by the Committee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follows:</w:t>
      </w:r>
    </w:p>
    <w:p>
      <w:pPr>
        <w:jc w:val="both"/>
        <w:ind w:left="1300" w:hanging="651"/>
        <w:spacing w:after="0" w:line="225" w:lineRule="auto"/>
        <w:tabs>
          <w:tab w:leader="none" w:pos="1288" w:val="left"/>
        </w:tabs>
        <w:numPr>
          <w:ilvl w:val="1"/>
          <w:numId w:val="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Stock was traded on any established stock exchange (such as The Nasdaq Capital Market, The Nasdaq Global Market, The Nasdaq Global Select Market or the New York Stock Exchange) or national market system on the date in question, then the Fair Market Value shall be equal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00"/>
          </w:cols>
          <w:pgMar w:left="960" w:top="1377" w:right="339" w:bottom="1440" w:gutter="0" w:footer="0" w:header="0"/>
        </w:sectPr>
      </w:pPr>
    </w:p>
    <w:bookmarkStart w:id="18" w:name="page19"/>
    <w:bookmarkEnd w:id="18"/>
    <w:p>
      <w:pPr>
        <w:ind w:left="1940"/>
        <w:spacing w:after="0"/>
        <w:rPr>
          <w:sz w:val="20"/>
          <w:szCs w:val="20"/>
          <w:color w:val="auto"/>
        </w:rPr>
      </w:pPr>
      <w:r>
        <w:rPr>
          <w:rFonts w:ascii="Times New Roman" w:cs="Times New Roman" w:eastAsia="Times New Roman" w:hAnsi="Times New Roman"/>
          <w:sz w:val="21"/>
          <w:szCs w:val="21"/>
          <w:color w:val="auto"/>
        </w:rPr>
        <w:t>to the closing price reported for such date by the applicable exchange or system;</w:t>
      </w:r>
    </w:p>
    <w:p>
      <w:pPr>
        <w:spacing w:after="0" w:line="186" w:lineRule="exact"/>
        <w:rPr>
          <w:sz w:val="20"/>
          <w:szCs w:val="20"/>
          <w:color w:val="auto"/>
        </w:rPr>
      </w:pPr>
    </w:p>
    <w:p>
      <w:pPr>
        <w:jc w:val="both"/>
        <w:ind w:left="1940" w:hanging="651"/>
        <w:spacing w:after="0" w:line="225" w:lineRule="auto"/>
        <w:tabs>
          <w:tab w:leader="none" w:pos="1934" w:val="left"/>
        </w:tabs>
        <w:numPr>
          <w:ilvl w:val="0"/>
          <w:numId w:val="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 or</w:t>
      </w:r>
    </w:p>
    <w:p>
      <w:pPr>
        <w:spacing w:after="0" w:line="150" w:lineRule="exact"/>
        <w:rPr>
          <w:rFonts w:ascii="Times New Roman" w:cs="Times New Roman" w:eastAsia="Times New Roman" w:hAnsi="Times New Roman"/>
          <w:sz w:val="21"/>
          <w:szCs w:val="21"/>
          <w:color w:val="010000"/>
        </w:rPr>
      </w:pPr>
    </w:p>
    <w:p>
      <w:pPr>
        <w:ind w:left="1940" w:hanging="651"/>
        <w:spacing w:after="0" w:line="249" w:lineRule="auto"/>
        <w:tabs>
          <w:tab w:leader="none" w:pos="1940" w:val="left"/>
        </w:tabs>
        <w:numPr>
          <w:ilvl w:val="0"/>
          <w:numId w:val="3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none of the foregoing provisions is applicable, then the Fair Market Value shall be determined by the Committee in good faith on such basis as it deems appropriate.</w:t>
      </w:r>
    </w:p>
    <w:p>
      <w:pPr>
        <w:spacing w:after="0" w:line="167"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The determination of fair market value for purposes of tax withholding may be made in the Committee’s discretion subject to applicable law and is not required to be consistent with the determination of Fair Market Value for other purposes.</w:t>
      </w:r>
    </w:p>
    <w:p>
      <w:pPr>
        <w:spacing w:after="0" w:line="142"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For any date that is not a trading day, the Fair Market Value of a share of Stock for such date shall be determined under clauses (i) and (ii) above with reference to the immediately preceding trading day. In all cases, the determination of Fair Market Value by the Committee shall be conclusive and binding on all persons and shall be consistent with the rules of Section 409A and Section 422 of the Code to the extent applicable.</w:t>
      </w:r>
    </w:p>
    <w:p>
      <w:pPr>
        <w:spacing w:after="0" w:line="133" w:lineRule="exact"/>
        <w:rPr>
          <w:sz w:val="20"/>
          <w:szCs w:val="20"/>
          <w:color w:val="auto"/>
        </w:rPr>
      </w:pPr>
    </w:p>
    <w:p>
      <w:pPr>
        <w:jc w:val="both"/>
        <w:ind w:left="1280" w:hanging="632"/>
        <w:spacing w:after="0" w:line="221" w:lineRule="auto"/>
        <w:tabs>
          <w:tab w:leader="none" w:pos="126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“ISO” </w:t>
      </w:r>
      <w:r>
        <w:rPr>
          <w:rFonts w:ascii="Times New Roman" w:cs="Times New Roman" w:eastAsia="Times New Roman" w:hAnsi="Times New Roman"/>
          <w:sz w:val="21"/>
          <w:szCs w:val="21"/>
          <w:color w:val="auto"/>
        </w:rPr>
        <w:t>means an Option intended to be an “incentive stock option” described in Section 422 of the Code.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granted pursuant to the Plan will be treated as providing by its terms that it is to be an NSO unless, as of the Date of Grant, it is expressly designated as an ISO in the applicable Option Award Agreement.</w:t>
      </w:r>
    </w:p>
    <w:p>
      <w:pPr>
        <w:spacing w:after="0" w:line="2" w:lineRule="exact"/>
        <w:rPr>
          <w:rFonts w:ascii="Times New Roman" w:cs="Times New Roman" w:eastAsia="Times New Roman" w:hAnsi="Times New Roman"/>
          <w:sz w:val="21"/>
          <w:szCs w:val="21"/>
          <w:color w:val="auto"/>
        </w:rPr>
      </w:pPr>
    </w:p>
    <w:p>
      <w:pPr>
        <w:jc w:val="both"/>
        <w:ind w:left="1280" w:hanging="632"/>
        <w:spacing w:after="0" w:line="212" w:lineRule="auto"/>
        <w:tabs>
          <w:tab w:leader="none" w:pos="127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“Mature Shares” </w:t>
      </w:r>
      <w:r>
        <w:rPr>
          <w:rFonts w:ascii="Times New Roman" w:cs="Times New Roman" w:eastAsia="Times New Roman" w:hAnsi="Times New Roman"/>
          <w:sz w:val="21"/>
          <w:szCs w:val="21"/>
          <w:color w:val="auto"/>
        </w:rPr>
        <w:t>means Shares owned by a Participant that are not subject to any pledge or security interest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w:t>
      </w:r>
    </w:p>
    <w:p>
      <w:pPr>
        <w:spacing w:after="0" w:line="1" w:lineRule="exact"/>
        <w:rPr>
          <w:rFonts w:ascii="Times New Roman" w:cs="Times New Roman" w:eastAsia="Times New Roman" w:hAnsi="Times New Roman"/>
          <w:sz w:val="21"/>
          <w:szCs w:val="21"/>
          <w:color w:val="auto"/>
        </w:rPr>
      </w:pPr>
    </w:p>
    <w:p>
      <w:pPr>
        <w:ind w:left="1280" w:hanging="632"/>
        <w:spacing w:after="0" w:line="212" w:lineRule="auto"/>
        <w:tabs>
          <w:tab w:leader="none" w:pos="127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“Non-Employee Director” </w:t>
      </w:r>
      <w:r>
        <w:rPr>
          <w:rFonts w:ascii="Times New Roman" w:cs="Times New Roman" w:eastAsia="Times New Roman" w:hAnsi="Times New Roman"/>
          <w:sz w:val="21"/>
          <w:szCs w:val="21"/>
          <w:color w:val="auto"/>
        </w:rPr>
        <w:t>means a person who is a “non-employee director” within the meaning of Rule 16b-3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Exchange Act.</w:t>
      </w:r>
    </w:p>
    <w:p>
      <w:pPr>
        <w:ind w:left="1280" w:hanging="632"/>
        <w:spacing w:after="0" w:line="212" w:lineRule="auto"/>
        <w:tabs>
          <w:tab w:leader="none" w:pos="12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“Nonstatutory Option” or “NSO” </w:t>
      </w:r>
      <w:r>
        <w:rPr>
          <w:rFonts w:ascii="Times New Roman" w:cs="Times New Roman" w:eastAsia="Times New Roman" w:hAnsi="Times New Roman"/>
          <w:sz w:val="21"/>
          <w:szCs w:val="21"/>
          <w:color w:val="auto"/>
        </w:rPr>
        <w:t>means an Option that is not an ISO.</w:t>
      </w:r>
    </w:p>
    <w:p>
      <w:pPr>
        <w:ind w:left="1280" w:hanging="632"/>
        <w:spacing w:after="0" w:line="212" w:lineRule="auto"/>
        <w:tabs>
          <w:tab w:leader="none" w:pos="127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“Option” </w:t>
      </w:r>
      <w:r>
        <w:rPr>
          <w:rFonts w:ascii="Times New Roman" w:cs="Times New Roman" w:eastAsia="Times New Roman" w:hAnsi="Times New Roman"/>
          <w:sz w:val="21"/>
          <w:szCs w:val="21"/>
          <w:color w:val="auto"/>
        </w:rPr>
        <w:t>means an option entitling the holder to acquire Shares upon payment of the exercise price and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satisfaction of performance or other vesting conditions.</w:t>
      </w:r>
    </w:p>
    <w:p>
      <w:pPr>
        <w:jc w:val="both"/>
        <w:ind w:left="1280" w:hanging="632"/>
        <w:spacing w:after="0" w:line="212" w:lineRule="auto"/>
        <w:tabs>
          <w:tab w:leader="none" w:pos="127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Stock-Based Award” </w:t>
      </w:r>
      <w:r>
        <w:rPr>
          <w:rFonts w:ascii="Times New Roman" w:cs="Times New Roman" w:eastAsia="Times New Roman" w:hAnsi="Times New Roman"/>
          <w:sz w:val="21"/>
          <w:szCs w:val="21"/>
          <w:color w:val="auto"/>
        </w:rPr>
        <w:t>means an Award other than an Option, a SAR, a Restricted Share, a Restricted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 that is convertible into or otherwise based on Shares and may be subject to the satisfaction of performance or other vesting conditions.</w:t>
      </w:r>
    </w:p>
    <w:p>
      <w:pPr>
        <w:spacing w:after="0" w:line="1" w:lineRule="exact"/>
        <w:rPr>
          <w:rFonts w:ascii="Times New Roman" w:cs="Times New Roman" w:eastAsia="Times New Roman" w:hAnsi="Times New Roman"/>
          <w:sz w:val="21"/>
          <w:szCs w:val="21"/>
          <w:color w:val="auto"/>
        </w:rPr>
      </w:pPr>
    </w:p>
    <w:p>
      <w:pPr>
        <w:jc w:val="both"/>
        <w:ind w:left="1280" w:hanging="632"/>
        <w:spacing w:after="0" w:line="225" w:lineRule="auto"/>
        <w:tabs>
          <w:tab w:leader="none" w:pos="127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“Parent” </w:t>
      </w:r>
      <w:r>
        <w:rPr>
          <w:rFonts w:ascii="Times New Roman" w:cs="Times New Roman" w:eastAsia="Times New Roman" w:hAnsi="Times New Roman"/>
          <w:sz w:val="21"/>
          <w:szCs w:val="21"/>
          <w:color w:val="auto"/>
        </w:rPr>
        <w:t>means any corporation (other than the Company) in an unbroken chain of corporations ending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if each of the corporations other than the Company owns stock possessing fifty percent (50%) or more of the total combined voting power of all classes of stock in one of the other corporations 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81" w:right="339" w:bottom="1440" w:gutter="0" w:footer="0" w:header="0"/>
        </w:sectPr>
      </w:pPr>
    </w:p>
    <w:bookmarkStart w:id="19" w:name="page20"/>
    <w:bookmarkEnd w:id="19"/>
    <w:p>
      <w:pPr>
        <w:ind w:left="640"/>
        <w:spacing w:after="0" w:line="224" w:lineRule="auto"/>
        <w:rPr>
          <w:sz w:val="20"/>
          <w:szCs w:val="20"/>
          <w:color w:val="auto"/>
        </w:rPr>
      </w:pPr>
      <w:r>
        <w:rPr>
          <w:rFonts w:ascii="Times New Roman" w:cs="Times New Roman" w:eastAsia="Times New Roman" w:hAnsi="Times New Roman"/>
          <w:sz w:val="21"/>
          <w:szCs w:val="21"/>
          <w:color w:val="auto"/>
        </w:rPr>
        <w:t>such chain. A corporation that attains the status of a Parent on a date after the adoption of the Plan shall be a Parent commencing as of such date.</w:t>
      </w:r>
    </w:p>
    <w:p>
      <w:pPr>
        <w:ind w:left="640" w:hanging="632"/>
        <w:spacing w:after="0" w:line="213" w:lineRule="auto"/>
        <w:tabs>
          <w:tab w:leader="none" w:pos="6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“Participant” </w:t>
      </w:r>
      <w:r>
        <w:rPr>
          <w:rFonts w:ascii="Times New Roman" w:cs="Times New Roman" w:eastAsia="Times New Roman" w:hAnsi="Times New Roman"/>
          <w:sz w:val="21"/>
          <w:szCs w:val="21"/>
          <w:color w:val="auto"/>
        </w:rPr>
        <w:t>means a person who holds an Award.</w:t>
      </w:r>
    </w:p>
    <w:p>
      <w:pPr>
        <w:jc w:val="both"/>
        <w:ind w:left="640" w:hanging="640"/>
        <w:spacing w:after="0" w:line="212" w:lineRule="auto"/>
        <w:tabs>
          <w:tab w:leader="none" w:pos="620" w:val="left"/>
        </w:tabs>
        <w:rPr>
          <w:sz w:val="20"/>
          <w:szCs w:val="20"/>
          <w:color w:val="auto"/>
        </w:rPr>
      </w:pPr>
      <w:r>
        <w:rPr>
          <w:rFonts w:ascii="Times New Roman" w:cs="Times New Roman" w:eastAsia="Times New Roman" w:hAnsi="Times New Roman"/>
          <w:sz w:val="21"/>
          <w:szCs w:val="21"/>
          <w:color w:val="auto"/>
        </w:rPr>
        <w:t>(ab)</w:t>
      </w:r>
      <w:r>
        <w:rPr>
          <w:sz w:val="20"/>
          <w:szCs w:val="20"/>
          <w:color w:val="auto"/>
        </w:rPr>
        <w:tab/>
      </w:r>
      <w:r>
        <w:rPr>
          <w:rFonts w:ascii="Times New Roman" w:cs="Times New Roman" w:eastAsia="Times New Roman" w:hAnsi="Times New Roman"/>
          <w:sz w:val="21"/>
          <w:szCs w:val="21"/>
          <w:b w:val="1"/>
          <w:bCs w:val="1"/>
          <w:color w:val="auto"/>
        </w:rPr>
        <w:t xml:space="preserve">“Plan” </w:t>
      </w:r>
      <w:r>
        <w:rPr>
          <w:rFonts w:ascii="Times New Roman" w:cs="Times New Roman" w:eastAsia="Times New Roman" w:hAnsi="Times New Roman"/>
          <w:sz w:val="21"/>
          <w:szCs w:val="21"/>
          <w:color w:val="auto"/>
        </w:rPr>
        <w:t>means this Amended and Restated 2018 Equity and Incentive Compensation Plan of Universal Electronics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 as amended from time to time.</w:t>
      </w:r>
    </w:p>
    <w:p>
      <w:pPr>
        <w:spacing w:after="0" w:line="1" w:lineRule="exact"/>
        <w:rPr>
          <w:sz w:val="20"/>
          <w:szCs w:val="20"/>
          <w:color w:val="auto"/>
        </w:rPr>
      </w:pPr>
    </w:p>
    <w:p>
      <w:pPr>
        <w:jc w:val="both"/>
        <w:ind w:left="640" w:hanging="639"/>
        <w:spacing w:after="0" w:line="212" w:lineRule="auto"/>
        <w:tabs>
          <w:tab w:leader="none" w:pos="620" w:val="left"/>
        </w:tabs>
        <w:rPr>
          <w:sz w:val="20"/>
          <w:szCs w:val="20"/>
          <w:color w:val="auto"/>
        </w:rPr>
      </w:pPr>
      <w:r>
        <w:rPr>
          <w:rFonts w:ascii="Times New Roman" w:cs="Times New Roman" w:eastAsia="Times New Roman" w:hAnsi="Times New Roman"/>
          <w:sz w:val="21"/>
          <w:szCs w:val="21"/>
          <w:color w:val="auto"/>
        </w:rPr>
        <w:t>(ac)</w:t>
      </w:r>
      <w:r>
        <w:rPr>
          <w:sz w:val="20"/>
          <w:szCs w:val="20"/>
          <w:color w:val="auto"/>
        </w:rPr>
        <w:tab/>
      </w:r>
      <w:r>
        <w:rPr>
          <w:rFonts w:ascii="Times New Roman" w:cs="Times New Roman" w:eastAsia="Times New Roman" w:hAnsi="Times New Roman"/>
          <w:sz w:val="21"/>
          <w:szCs w:val="21"/>
          <w:b w:val="1"/>
          <w:bCs w:val="1"/>
          <w:color w:val="auto"/>
        </w:rPr>
        <w:t xml:space="preserve">“Prior Plan” </w:t>
      </w:r>
      <w:r>
        <w:rPr>
          <w:rFonts w:ascii="Times New Roman" w:cs="Times New Roman" w:eastAsia="Times New Roman" w:hAnsi="Times New Roman"/>
          <w:sz w:val="21"/>
          <w:szCs w:val="21"/>
          <w:color w:val="auto"/>
        </w:rPr>
        <w:t>means each of the Universal Electronics Inc. 2014 Stock Incentive Plan, the Universal Electronics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 2010 Stock Incentive Plan, the Universal Electronics Inc. 2006 Stock Incentive Plan, the Universal Electronics Inc. 2003 Stock Incentive Plan, and the Universal Electronics Inc. 1999A Nonqualified Stock Plan (collectively, the “</w:t>
      </w:r>
      <w:r>
        <w:rPr>
          <w:rFonts w:ascii="Times New Roman" w:cs="Times New Roman" w:eastAsia="Times New Roman" w:hAnsi="Times New Roman"/>
          <w:sz w:val="21"/>
          <w:szCs w:val="21"/>
          <w:b w:val="1"/>
          <w:bCs w:val="1"/>
          <w:color w:val="auto"/>
        </w:rPr>
        <w:t>Prior Plans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left="640" w:hanging="640"/>
        <w:spacing w:after="0" w:line="232" w:lineRule="auto"/>
        <w:tabs>
          <w:tab w:leader="none" w:pos="620" w:val="left"/>
        </w:tabs>
        <w:rPr>
          <w:sz w:val="20"/>
          <w:szCs w:val="20"/>
          <w:color w:val="auto"/>
        </w:rPr>
      </w:pPr>
      <w:r>
        <w:rPr>
          <w:rFonts w:ascii="Times New Roman" w:cs="Times New Roman" w:eastAsia="Times New Roman" w:hAnsi="Times New Roman"/>
          <w:sz w:val="21"/>
          <w:szCs w:val="21"/>
          <w:color w:val="auto"/>
        </w:rPr>
        <w:t>(ad)</w:t>
      </w:r>
      <w:r>
        <w:rPr>
          <w:sz w:val="20"/>
          <w:szCs w:val="20"/>
          <w:color w:val="auto"/>
        </w:rPr>
        <w:tab/>
      </w:r>
      <w:r>
        <w:rPr>
          <w:rFonts w:ascii="Times New Roman" w:cs="Times New Roman" w:eastAsia="Times New Roman" w:hAnsi="Times New Roman"/>
          <w:sz w:val="21"/>
          <w:szCs w:val="21"/>
          <w:b w:val="1"/>
          <w:bCs w:val="1"/>
          <w:color w:val="auto"/>
        </w:rPr>
        <w:t xml:space="preserve">“Purchase Price” </w:t>
      </w:r>
      <w:r>
        <w:rPr>
          <w:rFonts w:ascii="Times New Roman" w:cs="Times New Roman" w:eastAsia="Times New Roman" w:hAnsi="Times New Roman"/>
          <w:sz w:val="21"/>
          <w:szCs w:val="21"/>
          <w:color w:val="auto"/>
        </w:rPr>
        <w:t>means the consideration for which one Share may be acquired under the Plan (other than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exercise of an Option or SAR), as specified by the Committee.</w:t>
      </w:r>
    </w:p>
    <w:p>
      <w:pPr>
        <w:spacing w:after="0" w:line="146" w:lineRule="exact"/>
        <w:rPr>
          <w:sz w:val="20"/>
          <w:szCs w:val="20"/>
          <w:color w:val="auto"/>
        </w:rPr>
      </w:pPr>
    </w:p>
    <w:p>
      <w:pPr>
        <w:jc w:val="both"/>
        <w:ind w:left="640" w:hanging="639"/>
        <w:spacing w:after="0" w:line="226" w:lineRule="auto"/>
        <w:tabs>
          <w:tab w:leader="none" w:pos="620" w:val="left"/>
        </w:tabs>
        <w:rPr>
          <w:sz w:val="20"/>
          <w:szCs w:val="20"/>
          <w:color w:val="auto"/>
        </w:rPr>
      </w:pPr>
      <w:r>
        <w:rPr>
          <w:rFonts w:ascii="Times New Roman" w:cs="Times New Roman" w:eastAsia="Times New Roman" w:hAnsi="Times New Roman"/>
          <w:sz w:val="21"/>
          <w:szCs w:val="21"/>
          <w:color w:val="auto"/>
        </w:rPr>
        <w:t>(ae)</w:t>
      </w:r>
      <w:r>
        <w:rPr>
          <w:sz w:val="20"/>
          <w:szCs w:val="20"/>
          <w:color w:val="auto"/>
        </w:rPr>
        <w:tab/>
      </w:r>
      <w:r>
        <w:rPr>
          <w:rFonts w:ascii="Times New Roman" w:cs="Times New Roman" w:eastAsia="Times New Roman" w:hAnsi="Times New Roman"/>
          <w:sz w:val="21"/>
          <w:szCs w:val="21"/>
          <w:b w:val="1"/>
          <w:bCs w:val="1"/>
          <w:color w:val="auto"/>
        </w:rPr>
        <w:t xml:space="preserve">“Restricted Share” </w:t>
      </w:r>
      <w:r>
        <w:rPr>
          <w:rFonts w:ascii="Times New Roman" w:cs="Times New Roman" w:eastAsia="Times New Roman" w:hAnsi="Times New Roman"/>
          <w:sz w:val="21"/>
          <w:szCs w:val="21"/>
          <w:color w:val="auto"/>
        </w:rPr>
        <w:t>means a Share subject to restrictions requiring that it be forfeited, redelivered or offered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sale to the Company if specified performance or other vesting conditions are not satisfied awarded under the Plan.</w:t>
      </w:r>
    </w:p>
    <w:p>
      <w:pPr>
        <w:spacing w:after="0" w:line="1" w:lineRule="exact"/>
        <w:rPr>
          <w:sz w:val="20"/>
          <w:szCs w:val="20"/>
          <w:color w:val="auto"/>
        </w:rPr>
      </w:pPr>
    </w:p>
    <w:p>
      <w:pPr>
        <w:jc w:val="both"/>
        <w:ind w:left="640" w:hanging="640"/>
        <w:spacing w:after="0" w:line="212" w:lineRule="auto"/>
        <w:tabs>
          <w:tab w:leader="none" w:pos="620" w:val="left"/>
        </w:tabs>
        <w:rPr>
          <w:sz w:val="20"/>
          <w:szCs w:val="20"/>
          <w:color w:val="auto"/>
        </w:rPr>
      </w:pPr>
      <w:r>
        <w:rPr>
          <w:rFonts w:ascii="Times New Roman" w:cs="Times New Roman" w:eastAsia="Times New Roman" w:hAnsi="Times New Roman"/>
          <w:sz w:val="21"/>
          <w:szCs w:val="21"/>
          <w:color w:val="auto"/>
        </w:rPr>
        <w:t>(af)</w:t>
      </w:r>
      <w:r>
        <w:rPr>
          <w:sz w:val="20"/>
          <w:szCs w:val="20"/>
          <w:color w:val="auto"/>
        </w:rPr>
        <w:tab/>
      </w:r>
      <w:r>
        <w:rPr>
          <w:rFonts w:ascii="Times New Roman" w:cs="Times New Roman" w:eastAsia="Times New Roman" w:hAnsi="Times New Roman"/>
          <w:sz w:val="21"/>
          <w:szCs w:val="21"/>
          <w:b w:val="1"/>
          <w:bCs w:val="1"/>
          <w:color w:val="auto"/>
        </w:rPr>
        <w:t xml:space="preserve">“Restricted Stock Unit” </w:t>
      </w:r>
      <w:r>
        <w:rPr>
          <w:rFonts w:ascii="Times New Roman" w:cs="Times New Roman" w:eastAsia="Times New Roman" w:hAnsi="Times New Roman"/>
          <w:sz w:val="21"/>
          <w:szCs w:val="21"/>
          <w:color w:val="auto"/>
        </w:rPr>
        <w:t>means a bookkeeping entry representing the Company’s obligation to deliver one Share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distribute cash measured by the value of a Share on a future date) and may be subject to the satisfaction of performance or other vesting conditions.</w:t>
      </w:r>
    </w:p>
    <w:p>
      <w:pPr>
        <w:spacing w:after="0" w:line="1" w:lineRule="exact"/>
        <w:rPr>
          <w:sz w:val="20"/>
          <w:szCs w:val="20"/>
          <w:color w:val="auto"/>
        </w:rPr>
      </w:pPr>
    </w:p>
    <w:p>
      <w:pPr>
        <w:jc w:val="both"/>
        <w:ind w:left="640" w:hanging="640"/>
        <w:spacing w:after="0" w:line="212" w:lineRule="auto"/>
        <w:tabs>
          <w:tab w:leader="none" w:pos="620" w:val="left"/>
        </w:tabs>
        <w:rPr>
          <w:sz w:val="20"/>
          <w:szCs w:val="20"/>
          <w:color w:val="auto"/>
        </w:rPr>
      </w:pPr>
      <w:r>
        <w:rPr>
          <w:rFonts w:ascii="Times New Roman" w:cs="Times New Roman" w:eastAsia="Times New Roman" w:hAnsi="Times New Roman"/>
          <w:sz w:val="21"/>
          <w:szCs w:val="21"/>
          <w:color w:val="auto"/>
        </w:rPr>
        <w:t>(ag)</w:t>
      </w:r>
      <w:r>
        <w:rPr>
          <w:sz w:val="20"/>
          <w:szCs w:val="20"/>
          <w:color w:val="auto"/>
        </w:rPr>
        <w:tab/>
      </w:r>
      <w:r>
        <w:rPr>
          <w:rFonts w:ascii="Times New Roman" w:cs="Times New Roman" w:eastAsia="Times New Roman" w:hAnsi="Times New Roman"/>
          <w:sz w:val="21"/>
          <w:szCs w:val="21"/>
          <w:b w:val="1"/>
          <w:bCs w:val="1"/>
          <w:color w:val="auto"/>
        </w:rPr>
        <w:t xml:space="preserve">“SAR” </w:t>
      </w:r>
      <w:r>
        <w:rPr>
          <w:rFonts w:ascii="Times New Roman" w:cs="Times New Roman" w:eastAsia="Times New Roman" w:hAnsi="Times New Roman"/>
          <w:sz w:val="21"/>
          <w:szCs w:val="21"/>
          <w:color w:val="auto"/>
        </w:rPr>
        <w:t>means a right entitling the holder upon exercise to receive an amount (payable in cash or in Stock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equivalent value) equal to the excess of the Fair Market Value of the Stock subject to the right over the Exercise Price from which appreciation under the SAR is to be measured.</w:t>
      </w:r>
    </w:p>
    <w:p>
      <w:pPr>
        <w:spacing w:after="0" w:line="213" w:lineRule="auto"/>
        <w:tabs>
          <w:tab w:leader="none" w:pos="620" w:val="left"/>
        </w:tabs>
        <w:rPr>
          <w:sz w:val="20"/>
          <w:szCs w:val="20"/>
          <w:color w:val="auto"/>
        </w:rPr>
      </w:pPr>
      <w:r>
        <w:rPr>
          <w:rFonts w:ascii="Times New Roman" w:cs="Times New Roman" w:eastAsia="Times New Roman" w:hAnsi="Times New Roman"/>
          <w:sz w:val="21"/>
          <w:szCs w:val="21"/>
          <w:color w:val="auto"/>
        </w:rPr>
        <w:t>(ah)</w:t>
      </w:r>
      <w:r>
        <w:rPr>
          <w:sz w:val="20"/>
          <w:szCs w:val="20"/>
          <w:color w:val="auto"/>
        </w:rPr>
        <w:tab/>
      </w: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means Section 409A of the Code.</w:t>
      </w:r>
    </w:p>
    <w:p>
      <w:pPr>
        <w:spacing w:after="0" w:line="1" w:lineRule="exact"/>
        <w:rPr>
          <w:sz w:val="20"/>
          <w:szCs w:val="20"/>
          <w:color w:val="auto"/>
        </w:rPr>
      </w:pPr>
    </w:p>
    <w:p>
      <w:pPr>
        <w:jc w:val="both"/>
        <w:ind w:left="640" w:hanging="640"/>
        <w:spacing w:after="0" w:line="212" w:lineRule="auto"/>
        <w:tabs>
          <w:tab w:leader="none" w:pos="620" w:val="left"/>
        </w:tabs>
        <w:rPr>
          <w:sz w:val="20"/>
          <w:szCs w:val="20"/>
          <w:color w:val="auto"/>
        </w:rPr>
      </w:pPr>
      <w:r>
        <w:rPr>
          <w:rFonts w:ascii="Times New Roman" w:cs="Times New Roman" w:eastAsia="Times New Roman" w:hAnsi="Times New Roman"/>
          <w:sz w:val="21"/>
          <w:szCs w:val="21"/>
          <w:color w:val="auto"/>
        </w:rPr>
        <w:t>(ai)</w:t>
      </w:r>
      <w:r>
        <w:rPr>
          <w:sz w:val="20"/>
          <w:szCs w:val="20"/>
          <w:color w:val="auto"/>
        </w:rPr>
        <w:tab/>
      </w:r>
      <w:r>
        <w:rPr>
          <w:rFonts w:ascii="Times New Roman" w:cs="Times New Roman" w:eastAsia="Times New Roman" w:hAnsi="Times New Roman"/>
          <w:sz w:val="21"/>
          <w:szCs w:val="21"/>
          <w:b w:val="1"/>
          <w:bCs w:val="1"/>
          <w:color w:val="auto"/>
        </w:rPr>
        <w:t xml:space="preserve">“Securities Act” </w:t>
      </w:r>
      <w:r>
        <w:rPr>
          <w:rFonts w:ascii="Times New Roman" w:cs="Times New Roman" w:eastAsia="Times New Roman" w:hAnsi="Times New Roman"/>
          <w:sz w:val="21"/>
          <w:szCs w:val="21"/>
          <w:color w:val="auto"/>
        </w:rPr>
        <w:t>means the United States Securities Act of 1933, as amended, the rules and 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promulgated thereunder.</w:t>
      </w:r>
    </w:p>
    <w:p>
      <w:pPr>
        <w:spacing w:after="0" w:line="1" w:lineRule="exact"/>
        <w:rPr>
          <w:sz w:val="20"/>
          <w:szCs w:val="20"/>
          <w:color w:val="auto"/>
        </w:rPr>
      </w:pPr>
    </w:p>
    <w:p>
      <w:pPr>
        <w:jc w:val="both"/>
        <w:ind w:left="640" w:hanging="640"/>
        <w:spacing w:after="0" w:line="212" w:lineRule="auto"/>
        <w:tabs>
          <w:tab w:leader="none" w:pos="620" w:val="left"/>
        </w:tabs>
        <w:rPr>
          <w:sz w:val="20"/>
          <w:szCs w:val="20"/>
          <w:color w:val="auto"/>
        </w:rPr>
      </w:pPr>
      <w:r>
        <w:rPr>
          <w:rFonts w:ascii="Times New Roman" w:cs="Times New Roman" w:eastAsia="Times New Roman" w:hAnsi="Times New Roman"/>
          <w:sz w:val="21"/>
          <w:szCs w:val="21"/>
          <w:color w:val="auto"/>
        </w:rPr>
        <w:t>(aj)</w:t>
      </w:r>
      <w:r>
        <w:rPr>
          <w:sz w:val="20"/>
          <w:szCs w:val="20"/>
          <w:color w:val="auto"/>
        </w:rPr>
        <w:tab/>
      </w:r>
      <w:r>
        <w:rPr>
          <w:rFonts w:ascii="Times New Roman" w:cs="Times New Roman" w:eastAsia="Times New Roman" w:hAnsi="Times New Roman"/>
          <w:sz w:val="21"/>
          <w:szCs w:val="21"/>
          <w:b w:val="1"/>
          <w:bCs w:val="1"/>
          <w:color w:val="auto"/>
        </w:rPr>
        <w:t xml:space="preserve">“Service” </w:t>
      </w:r>
      <w:r>
        <w:rPr>
          <w:rFonts w:ascii="Times New Roman" w:cs="Times New Roman" w:eastAsia="Times New Roman" w:hAnsi="Times New Roman"/>
          <w:sz w:val="21"/>
          <w:szCs w:val="21"/>
          <w:color w:val="auto"/>
        </w:rPr>
        <w:t>means service as an Employee, Consultant or Non-Employee Director, subject to such further limitations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may be set forth in the Plan or the applicable Award Agreement. Unless determined otherwise by the Committee:</w:t>
      </w:r>
    </w:p>
    <w:p>
      <w:pPr>
        <w:spacing w:after="0" w:line="1" w:lineRule="exact"/>
        <w:rPr>
          <w:sz w:val="20"/>
          <w:szCs w:val="20"/>
          <w:color w:val="auto"/>
        </w:rPr>
      </w:pPr>
    </w:p>
    <w:p>
      <w:pPr>
        <w:jc w:val="both"/>
        <w:ind w:left="640" w:firstLine="9"/>
        <w:spacing w:after="0" w:line="215" w:lineRule="auto"/>
        <w:tabs>
          <w:tab w:leader="none" w:pos="93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 bona fide leave of absence due to illness, vacation or such other leave that was approved by the Company in writing, nor a transfer from employment or service with the Company to employment or service with a Subsidiary or an Affiliate, shall be considered a termination of Service; and (ii) if a Participant’s employment with a member of the Company Group terminates, but such Participant continues to provide services to the Company Group in a non-employee capacity, such change in status shall not considered a termination of Service. For purposes of determining whether an Option is entitled to ISO status, an Employee’s employment will be treated as terminating three (3) months after such Employee went on leave, unless such Employee’s right to return to active work is guaranteed by law or by a contract. Service terminates in any event when the approved leave ends, unless such Employee immediately returns to active work. For the avoidance of doubt, the Committee determines which leaves of absence count toward Service, and when Service terminates for all purposes under the Plan. Unless a different treatment is approved by the Committee, vesting will be adjusted pro-rata for any approved reductions in work hours (for example, from full-time to part-time) other than due to an approved leave of absence as discussed in the prior sentence (i.e., the portion of the award vesting on each vesting date is reduced pro-rata based on the reduction in hours worked).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00"/>
          </w:cols>
          <w:pgMar w:left="960" w:top="1381" w:right="339" w:bottom="1440" w:gutter="0" w:footer="0" w:header="0"/>
        </w:sectPr>
      </w:pPr>
    </w:p>
    <w:bookmarkStart w:id="20" w:name="page21"/>
    <w:bookmarkEnd w:id="20"/>
    <w:p>
      <w:pPr>
        <w:ind w:left="640"/>
        <w:spacing w:after="0"/>
        <w:tabs>
          <w:tab w:leader="none" w:pos="1260" w:val="left"/>
        </w:tabs>
        <w:rPr>
          <w:sz w:val="20"/>
          <w:szCs w:val="20"/>
          <w:color w:val="auto"/>
        </w:rPr>
      </w:pPr>
      <w:r>
        <w:rPr>
          <w:rFonts w:ascii="Times New Roman" w:cs="Times New Roman" w:eastAsia="Times New Roman" w:hAnsi="Times New Roman"/>
          <w:sz w:val="21"/>
          <w:szCs w:val="21"/>
          <w:color w:val="auto"/>
        </w:rPr>
        <w:t>(ak)</w:t>
      </w:r>
      <w:r>
        <w:rPr>
          <w:sz w:val="20"/>
          <w:szCs w:val="20"/>
          <w:color w:val="auto"/>
        </w:rPr>
        <w:tab/>
      </w:r>
      <w:r>
        <w:rPr>
          <w:rFonts w:ascii="Times New Roman" w:cs="Times New Roman" w:eastAsia="Times New Roman" w:hAnsi="Times New Roman"/>
          <w:sz w:val="21"/>
          <w:szCs w:val="21"/>
          <w:b w:val="1"/>
          <w:bCs w:val="1"/>
          <w:color w:val="auto"/>
        </w:rPr>
        <w:t xml:space="preserve">“Share” </w:t>
      </w:r>
      <w:r>
        <w:rPr>
          <w:rFonts w:ascii="Times New Roman" w:cs="Times New Roman" w:eastAsia="Times New Roman" w:hAnsi="Times New Roman"/>
          <w:sz w:val="21"/>
          <w:szCs w:val="21"/>
          <w:color w:val="auto"/>
        </w:rPr>
        <w:t>means one share of Stock as adjusted in accordance with Section 12 (if applicable).</w:t>
      </w:r>
    </w:p>
    <w:p>
      <w:pPr>
        <w:jc w:val="both"/>
        <w:ind w:left="1280" w:right="20" w:hanging="640"/>
        <w:spacing w:after="0" w:line="212" w:lineRule="auto"/>
        <w:tabs>
          <w:tab w:leader="none" w:pos="1260" w:val="left"/>
        </w:tabs>
        <w:rPr>
          <w:sz w:val="20"/>
          <w:szCs w:val="20"/>
          <w:color w:val="auto"/>
        </w:rPr>
      </w:pPr>
      <w:r>
        <w:rPr>
          <w:rFonts w:ascii="Times New Roman" w:cs="Times New Roman" w:eastAsia="Times New Roman" w:hAnsi="Times New Roman"/>
          <w:sz w:val="21"/>
          <w:szCs w:val="21"/>
          <w:color w:val="auto"/>
        </w:rPr>
        <w:t>(al)</w:t>
      </w:r>
      <w:r>
        <w:rPr>
          <w:sz w:val="20"/>
          <w:szCs w:val="20"/>
          <w:color w:val="auto"/>
        </w:rPr>
        <w:tab/>
      </w:r>
      <w:r>
        <w:rPr>
          <w:rFonts w:ascii="Times New Roman" w:cs="Times New Roman" w:eastAsia="Times New Roman" w:hAnsi="Times New Roman"/>
          <w:sz w:val="21"/>
          <w:szCs w:val="21"/>
          <w:b w:val="1"/>
          <w:bCs w:val="1"/>
          <w:color w:val="auto"/>
        </w:rPr>
        <w:t xml:space="preserve">“Stock” </w:t>
      </w:r>
      <w:r>
        <w:rPr>
          <w:rFonts w:ascii="Times New Roman" w:cs="Times New Roman" w:eastAsia="Times New Roman" w:hAnsi="Times New Roman"/>
          <w:sz w:val="21"/>
          <w:szCs w:val="21"/>
          <w:color w:val="auto"/>
        </w:rPr>
        <w:t>means the Common Stock, par value $0.01 per share, of the Company (and any stock or other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into which such common stock may be converted or into which it may be exchanged).</w:t>
      </w:r>
    </w:p>
    <w:p>
      <w:pPr>
        <w:spacing w:after="0" w:line="1" w:lineRule="exact"/>
        <w:rPr>
          <w:sz w:val="20"/>
          <w:szCs w:val="20"/>
          <w:color w:val="auto"/>
        </w:rPr>
      </w:pPr>
    </w:p>
    <w:p>
      <w:pPr>
        <w:jc w:val="both"/>
        <w:ind w:left="1280" w:hanging="640"/>
        <w:spacing w:after="0" w:line="212" w:lineRule="auto"/>
        <w:tabs>
          <w:tab w:leader="none" w:pos="1260" w:val="left"/>
        </w:tabs>
        <w:rPr>
          <w:sz w:val="20"/>
          <w:szCs w:val="20"/>
          <w:color w:val="auto"/>
        </w:rPr>
      </w:pPr>
      <w:r>
        <w:rPr>
          <w:rFonts w:ascii="Times New Roman" w:cs="Times New Roman" w:eastAsia="Times New Roman" w:hAnsi="Times New Roman"/>
          <w:sz w:val="21"/>
          <w:szCs w:val="21"/>
          <w:color w:val="auto"/>
        </w:rPr>
        <w:t>(am)</w:t>
      </w:r>
      <w:r>
        <w:rPr>
          <w:sz w:val="20"/>
          <w:szCs w:val="20"/>
          <w:color w:val="auto"/>
        </w:rPr>
        <w:tab/>
      </w:r>
      <w:r>
        <w:rPr>
          <w:rFonts w:ascii="Times New Roman" w:cs="Times New Roman" w:eastAsia="Times New Roman" w:hAnsi="Times New Roman"/>
          <w:sz w:val="21"/>
          <w:szCs w:val="21"/>
          <w:b w:val="1"/>
          <w:bCs w:val="1"/>
          <w:color w:val="auto"/>
        </w:rPr>
        <w:t xml:space="preserve">“Subsidiary” </w:t>
      </w:r>
      <w:r>
        <w:rPr>
          <w:rFonts w:ascii="Times New Roman" w:cs="Times New Roman" w:eastAsia="Times New Roman" w:hAnsi="Times New Roman"/>
          <w:sz w:val="21"/>
          <w:szCs w:val="21"/>
          <w:color w:val="auto"/>
        </w:rPr>
        <w:t>means any corporation, company or other entity, if the Company owns and/or one or more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Subsidiaries own not less than fifty percent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spacing w:after="0" w:line="2" w:lineRule="exact"/>
        <w:rPr>
          <w:sz w:val="20"/>
          <w:szCs w:val="20"/>
          <w:color w:val="auto"/>
        </w:rPr>
      </w:pPr>
    </w:p>
    <w:p>
      <w:pPr>
        <w:jc w:val="both"/>
        <w:ind w:left="1280" w:hanging="640"/>
        <w:spacing w:after="0" w:line="212" w:lineRule="auto"/>
        <w:tabs>
          <w:tab w:leader="none" w:pos="1260" w:val="left"/>
        </w:tabs>
        <w:rPr>
          <w:sz w:val="20"/>
          <w:szCs w:val="20"/>
          <w:color w:val="auto"/>
        </w:rPr>
      </w:pPr>
      <w:r>
        <w:rPr>
          <w:rFonts w:ascii="Times New Roman" w:cs="Times New Roman" w:eastAsia="Times New Roman" w:hAnsi="Times New Roman"/>
          <w:sz w:val="21"/>
          <w:szCs w:val="21"/>
          <w:color w:val="auto"/>
        </w:rPr>
        <w:t>(an)</w:t>
      </w:r>
      <w:r>
        <w:rPr>
          <w:sz w:val="20"/>
          <w:szCs w:val="20"/>
          <w:color w:val="auto"/>
        </w:rPr>
        <w:tab/>
      </w:r>
      <w:r>
        <w:rPr>
          <w:rFonts w:ascii="Times New Roman" w:cs="Times New Roman" w:eastAsia="Times New Roman" w:hAnsi="Times New Roman"/>
          <w:sz w:val="21"/>
          <w:szCs w:val="21"/>
          <w:b w:val="1"/>
          <w:bCs w:val="1"/>
          <w:color w:val="auto"/>
        </w:rPr>
        <w:t xml:space="preserve">“Trade Secrets” </w:t>
      </w:r>
      <w:r>
        <w:rPr>
          <w:rFonts w:ascii="Times New Roman" w:cs="Times New Roman" w:eastAsia="Times New Roman" w:hAnsi="Times New Roman"/>
          <w:sz w:val="21"/>
          <w:szCs w:val="21"/>
          <w:color w:val="auto"/>
        </w:rPr>
        <w:t>means without limitation, (i) any data or information that is competitively sensitive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commercially valuable and not generally known to the public and (ii)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Delaware Uniform Trade Secrets Act.</w:t>
      </w:r>
    </w:p>
    <w:p>
      <w:pPr>
        <w:spacing w:after="0" w:line="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3.</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158" w:lineRule="exact"/>
        <w:rPr>
          <w:sz w:val="20"/>
          <w:szCs w:val="20"/>
          <w:color w:val="auto"/>
        </w:rPr>
      </w:pPr>
    </w:p>
    <w:p>
      <w:pPr>
        <w:jc w:val="both"/>
        <w:ind w:firstLine="648"/>
        <w:spacing w:after="0" w:line="217" w:lineRule="auto"/>
        <w:tabs>
          <w:tab w:leader="none" w:pos="1279" w:val="left"/>
        </w:tabs>
        <w:numPr>
          <w:ilvl w:val="0"/>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Committee Composition</w:t>
      </w:r>
      <w:r>
        <w:rPr>
          <w:rFonts w:ascii="Times New Roman" w:cs="Times New Roman" w:eastAsia="Times New Roman" w:hAnsi="Times New Roman"/>
          <w:sz w:val="21"/>
          <w:szCs w:val="21"/>
          <w:color w:val="auto"/>
        </w:rPr>
        <w:t>. The Plan shall be administered by the Board or by a Committee acting appointed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The Committee shall consist of two or more directors of the Company. In addition, to the extent required by the Board, the composition of the Committee shall satisfy such requirements of the Nasdaq Stock Market or the New York Stock Exchange or as applicable, and as the Securities and Exchange Commission may establish for administrators acting under plans intended to qualify for exemption under Rule 16b-3 (or its successor) under the Exchange Act.</w:t>
      </w:r>
    </w:p>
    <w:p>
      <w:pPr>
        <w:spacing w:after="0" w:line="4" w:lineRule="exact"/>
        <w:rPr>
          <w:rFonts w:ascii="Times New Roman" w:cs="Times New Roman" w:eastAsia="Times New Roman" w:hAnsi="Times New Roman"/>
          <w:sz w:val="21"/>
          <w:szCs w:val="21"/>
          <w:color w:val="010000"/>
        </w:rPr>
      </w:pPr>
    </w:p>
    <w:p>
      <w:pPr>
        <w:jc w:val="both"/>
        <w:ind w:firstLine="648"/>
        <w:spacing w:after="0" w:line="216" w:lineRule="auto"/>
        <w:tabs>
          <w:tab w:leader="none" w:pos="1278" w:val="left"/>
        </w:tabs>
        <w:numPr>
          <w:ilvl w:val="0"/>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Committee Appointment</w:t>
      </w:r>
      <w:r>
        <w:rPr>
          <w:rFonts w:ascii="Times New Roman" w:cs="Times New Roman" w:eastAsia="Times New Roman" w:hAnsi="Times New Roman"/>
          <w:sz w:val="21"/>
          <w:szCs w:val="21"/>
          <w:color w:val="auto"/>
        </w:rPr>
        <w:t>. The Board may also appoint one or more separate committees of the Board,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composed of one or more directors of the Company who need not satisfy the requirements of Section 3(a), who may administer the Plan, grant Awards under the Plan and determine all terms of such grants, in each case with respect to all Employees, Consultants and Non-Employee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the Committee may also authorize one or more officers of the Company to designate Employees, other than officers under Section 16 of the Exchange Act, to receive Awards and/or to determine the number of such Awards to be received by such persons; provided, however, that the Board or the Committee shall specify the total number of Awards that such officers may so award.</w:t>
      </w:r>
    </w:p>
    <w:p>
      <w:pPr>
        <w:spacing w:after="0" w:line="149" w:lineRule="exact"/>
        <w:rPr>
          <w:rFonts w:ascii="Times New Roman" w:cs="Times New Roman" w:eastAsia="Times New Roman" w:hAnsi="Times New Roman"/>
          <w:sz w:val="21"/>
          <w:szCs w:val="21"/>
          <w:color w:val="010000"/>
        </w:rPr>
      </w:pPr>
    </w:p>
    <w:p>
      <w:pPr>
        <w:ind w:firstLine="648"/>
        <w:spacing w:after="0" w:line="226" w:lineRule="auto"/>
        <w:tabs>
          <w:tab w:leader="none" w:pos="1279" w:val="left"/>
        </w:tabs>
        <w:numPr>
          <w:ilvl w:val="0"/>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Committee Responsibilities</w:t>
      </w:r>
      <w:r>
        <w:rPr>
          <w:rFonts w:ascii="Times New Roman" w:cs="Times New Roman" w:eastAsia="Times New Roman" w:hAnsi="Times New Roman"/>
          <w:sz w:val="21"/>
          <w:szCs w:val="21"/>
          <w:color w:val="auto"/>
        </w:rPr>
        <w:t>. Subject to the provisions of the Plan and applicable law, the Committee shall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full authority and discretion to take the following actions:</w:t>
      </w:r>
    </w:p>
    <w:p>
      <w:pPr>
        <w:ind w:left="1920" w:hanging="631"/>
        <w:spacing w:after="0"/>
        <w:tabs>
          <w:tab w:leader="none" w:pos="1920" w:val="left"/>
        </w:tabs>
        <w:numPr>
          <w:ilvl w:val="1"/>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interpret the Plan and to apply its provisions;</w:t>
      </w:r>
    </w:p>
    <w:p>
      <w:pPr>
        <w:spacing w:after="0" w:line="161" w:lineRule="exact"/>
        <w:rPr>
          <w:rFonts w:ascii="Times New Roman" w:cs="Times New Roman" w:eastAsia="Times New Roman" w:hAnsi="Times New Roman"/>
          <w:sz w:val="21"/>
          <w:szCs w:val="21"/>
          <w:color w:val="010000"/>
        </w:rPr>
      </w:pPr>
    </w:p>
    <w:p>
      <w:pPr>
        <w:ind w:left="1920" w:hanging="631"/>
        <w:spacing w:after="0"/>
        <w:tabs>
          <w:tab w:leader="none" w:pos="1920" w:val="left"/>
        </w:tabs>
        <w:numPr>
          <w:ilvl w:val="1"/>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adopt, amend, or rescind rules, procedures, and forms relating to the Plan;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77" w:right="339" w:bottom="1440" w:gutter="0" w:footer="0" w:header="0"/>
        </w:sectPr>
      </w:pPr>
    </w:p>
    <w:bookmarkStart w:id="21" w:name="page22"/>
    <w:bookmarkEnd w:id="21"/>
    <w:p>
      <w:pPr>
        <w:ind w:left="1940" w:hanging="651"/>
        <w:spacing w:after="0" w:line="249" w:lineRule="auto"/>
        <w:tabs>
          <w:tab w:leader="none" w:pos="194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adopt, amend, or terminate sub-plans established for the purpose of satisfying applicable foreign laws including qualifying for preferred tax treatment under applicable foreign tax laws;</w:t>
      </w:r>
    </w:p>
    <w:p>
      <w:pPr>
        <w:spacing w:after="0" w:line="140" w:lineRule="exact"/>
        <w:rPr>
          <w:rFonts w:ascii="Times New Roman" w:cs="Times New Roman" w:eastAsia="Times New Roman" w:hAnsi="Times New Roman"/>
          <w:sz w:val="21"/>
          <w:szCs w:val="21"/>
          <w:color w:val="010000"/>
        </w:rPr>
      </w:pPr>
    </w:p>
    <w:p>
      <w:pPr>
        <w:ind w:left="1940" w:hanging="651"/>
        <w:spacing w:after="0" w:line="249" w:lineRule="auto"/>
        <w:tabs>
          <w:tab w:leader="none" w:pos="1928"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authorize any person to execute, on behalf of the Company, any instrument required to carry out the purposes of the Plan;</w:t>
      </w:r>
    </w:p>
    <w:p>
      <w:pPr>
        <w:spacing w:after="0" w:line="140" w:lineRule="exact"/>
        <w:rPr>
          <w:rFonts w:ascii="Times New Roman" w:cs="Times New Roman" w:eastAsia="Times New Roman" w:hAnsi="Times New Roman"/>
          <w:sz w:val="21"/>
          <w:szCs w:val="21"/>
          <w:color w:val="010000"/>
        </w:rPr>
      </w:pPr>
    </w:p>
    <w:p>
      <w:pPr>
        <w:ind w:left="1920" w:hanging="631"/>
        <w:spacing w:after="0"/>
        <w:tabs>
          <w:tab w:leader="none" w:pos="192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determine when Awards are to be granted under the Plan;</w:t>
      </w:r>
    </w:p>
    <w:p>
      <w:pPr>
        <w:spacing w:after="0" w:line="185" w:lineRule="exact"/>
        <w:rPr>
          <w:rFonts w:ascii="Times New Roman" w:cs="Times New Roman" w:eastAsia="Times New Roman" w:hAnsi="Times New Roman"/>
          <w:sz w:val="21"/>
          <w:szCs w:val="21"/>
          <w:color w:val="010000"/>
        </w:rPr>
      </w:pPr>
    </w:p>
    <w:p>
      <w:pPr>
        <w:ind w:left="1920" w:hanging="631"/>
        <w:spacing w:after="0"/>
        <w:tabs>
          <w:tab w:leader="none" w:pos="192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select the Participants to whom Awards are to be granted;</w:t>
      </w:r>
    </w:p>
    <w:p>
      <w:pPr>
        <w:spacing w:after="0" w:line="185" w:lineRule="exact"/>
        <w:rPr>
          <w:rFonts w:ascii="Times New Roman" w:cs="Times New Roman" w:eastAsia="Times New Roman" w:hAnsi="Times New Roman"/>
          <w:sz w:val="21"/>
          <w:szCs w:val="21"/>
          <w:color w:val="010000"/>
        </w:rPr>
      </w:pPr>
    </w:p>
    <w:p>
      <w:pPr>
        <w:ind w:left="1920" w:hanging="631"/>
        <w:spacing w:after="0"/>
        <w:tabs>
          <w:tab w:leader="none" w:pos="192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determine the type of Award and number of Shares or amount of cash to be made subject to each Award;</w:t>
      </w:r>
    </w:p>
    <w:p>
      <w:pPr>
        <w:spacing w:after="0" w:line="185" w:lineRule="exact"/>
        <w:rPr>
          <w:rFonts w:ascii="Times New Roman" w:cs="Times New Roman" w:eastAsia="Times New Roman" w:hAnsi="Times New Roman"/>
          <w:sz w:val="21"/>
          <w:szCs w:val="21"/>
          <w:color w:val="010000"/>
        </w:rPr>
      </w:pPr>
    </w:p>
    <w:p>
      <w:pPr>
        <w:jc w:val="both"/>
        <w:ind w:left="1940" w:hanging="651"/>
        <w:spacing w:after="0" w:line="225" w:lineRule="auto"/>
        <w:tabs>
          <w:tab w:leader="none" w:pos="194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an NSO, and to specify the provisions of the agreement relating to such Award;</w:t>
      </w:r>
    </w:p>
    <w:p>
      <w:pPr>
        <w:spacing w:after="0" w:line="150" w:lineRule="exact"/>
        <w:rPr>
          <w:rFonts w:ascii="Times New Roman" w:cs="Times New Roman" w:eastAsia="Times New Roman" w:hAnsi="Times New Roman"/>
          <w:sz w:val="21"/>
          <w:szCs w:val="21"/>
          <w:color w:val="010000"/>
        </w:rPr>
      </w:pPr>
    </w:p>
    <w:p>
      <w:pPr>
        <w:ind w:left="1940" w:hanging="651"/>
        <w:spacing w:after="0" w:line="249" w:lineRule="auto"/>
        <w:tabs>
          <w:tab w:leader="none" w:pos="1928"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establish or verify the extent of satisfaction of any performance goals or other conditions applicable to the grant, issuance, exercisability, vesting, and/or ability to retain any Award;</w:t>
      </w:r>
    </w:p>
    <w:p>
      <w:pPr>
        <w:spacing w:after="0" w:line="140" w:lineRule="exact"/>
        <w:rPr>
          <w:rFonts w:ascii="Times New Roman" w:cs="Times New Roman" w:eastAsia="Times New Roman" w:hAnsi="Times New Roman"/>
          <w:sz w:val="21"/>
          <w:szCs w:val="21"/>
          <w:color w:val="010000"/>
        </w:rPr>
      </w:pPr>
    </w:p>
    <w:p>
      <w:pPr>
        <w:ind w:left="1940" w:hanging="651"/>
        <w:spacing w:after="0" w:line="249" w:lineRule="auto"/>
        <w:tabs>
          <w:tab w:leader="none" w:pos="1935"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prescribe the consideration for the grant of each Award or other right under the Plan and to determine the sufficiency of such consideration;</w:t>
      </w:r>
    </w:p>
    <w:p>
      <w:pPr>
        <w:spacing w:after="0" w:line="140" w:lineRule="exact"/>
        <w:rPr>
          <w:rFonts w:ascii="Times New Roman" w:cs="Times New Roman" w:eastAsia="Times New Roman" w:hAnsi="Times New Roman"/>
          <w:sz w:val="21"/>
          <w:szCs w:val="21"/>
          <w:color w:val="010000"/>
        </w:rPr>
      </w:pPr>
    </w:p>
    <w:p>
      <w:pPr>
        <w:ind w:left="1940" w:right="20" w:hanging="651"/>
        <w:spacing w:after="0" w:line="249" w:lineRule="auto"/>
        <w:tabs>
          <w:tab w:leader="none" w:pos="1928"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determine the disposition of each Award or other right under the Plan in the event of a Participant’s divorce or dissolution of marriage;</w:t>
      </w:r>
    </w:p>
    <w:p>
      <w:pPr>
        <w:spacing w:after="0" w:line="140" w:lineRule="exact"/>
        <w:rPr>
          <w:rFonts w:ascii="Times New Roman" w:cs="Times New Roman" w:eastAsia="Times New Roman" w:hAnsi="Times New Roman"/>
          <w:sz w:val="21"/>
          <w:szCs w:val="21"/>
          <w:color w:val="010000"/>
        </w:rPr>
      </w:pPr>
    </w:p>
    <w:p>
      <w:pPr>
        <w:ind w:left="1940" w:hanging="651"/>
        <w:spacing w:after="0" w:line="249" w:lineRule="auto"/>
        <w:tabs>
          <w:tab w:leader="none" w:pos="1934"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determine whether Awards under the Plan will be granted in replacement of other grants under an incentive or other compensation plan of an acquired business;</w:t>
      </w:r>
    </w:p>
    <w:p>
      <w:pPr>
        <w:spacing w:after="0" w:line="140" w:lineRule="exact"/>
        <w:rPr>
          <w:rFonts w:ascii="Times New Roman" w:cs="Times New Roman" w:eastAsia="Times New Roman" w:hAnsi="Times New Roman"/>
          <w:sz w:val="21"/>
          <w:szCs w:val="21"/>
          <w:color w:val="010000"/>
        </w:rPr>
      </w:pPr>
    </w:p>
    <w:p>
      <w:pPr>
        <w:ind w:left="1940" w:hanging="651"/>
        <w:spacing w:after="0" w:line="249" w:lineRule="auto"/>
        <w:tabs>
          <w:tab w:leader="none" w:pos="194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amend any outstanding Award Agreement, subject to applicable legal restrictions and to the consent of the Participant if the Participant’s rights or obligations would be materially impaired;</w:t>
      </w:r>
    </w:p>
    <w:p>
      <w:pPr>
        <w:spacing w:after="0" w:line="140" w:lineRule="exact"/>
        <w:rPr>
          <w:rFonts w:ascii="Times New Roman" w:cs="Times New Roman" w:eastAsia="Times New Roman" w:hAnsi="Times New Roman"/>
          <w:sz w:val="21"/>
          <w:szCs w:val="21"/>
          <w:color w:val="010000"/>
        </w:rPr>
      </w:pPr>
    </w:p>
    <w:p>
      <w:pPr>
        <w:ind w:left="1940" w:hanging="651"/>
        <w:spacing w:after="0" w:line="249" w:lineRule="auto"/>
        <w:tabs>
          <w:tab w:leader="none" w:pos="1928"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correct any defect, supply any omission, or reconcile any inconsistency in the Plan or any Award Agreement; and</w:t>
      </w:r>
    </w:p>
    <w:p>
      <w:pPr>
        <w:spacing w:after="0" w:line="140" w:lineRule="exact"/>
        <w:rPr>
          <w:rFonts w:ascii="Times New Roman" w:cs="Times New Roman" w:eastAsia="Times New Roman" w:hAnsi="Times New Roman"/>
          <w:sz w:val="21"/>
          <w:szCs w:val="21"/>
          <w:color w:val="010000"/>
        </w:rPr>
      </w:pPr>
    </w:p>
    <w:p>
      <w:pPr>
        <w:ind w:left="1920" w:hanging="631"/>
        <w:spacing w:after="0"/>
        <w:tabs>
          <w:tab w:leader="none" w:pos="192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take any other actions deemed necessary or advisable for the administration of the Plan.</w:t>
      </w:r>
    </w:p>
    <w:p>
      <w:pPr>
        <w:spacing w:after="0" w:line="213"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in or the granting of Awards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81"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21"/>
          <w:szCs w:val="21"/>
          <w:color w:val="auto"/>
        </w:rPr>
        <w:t>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such member of the Committee has taken or has failed to take in good faith with respect to the Plan or any Award under the Plan.</w:t>
      </w:r>
    </w:p>
    <w:p>
      <w:pPr>
        <w:spacing w:after="0" w:line="133" w:lineRule="exact"/>
        <w:rPr>
          <w:sz w:val="20"/>
          <w:szCs w:val="20"/>
          <w:color w:val="auto"/>
        </w:rPr>
      </w:pPr>
    </w:p>
    <w:p>
      <w:pPr>
        <w:jc w:val="both"/>
        <w:ind w:firstLine="648"/>
        <w:spacing w:after="0" w:line="219" w:lineRule="auto"/>
        <w:tabs>
          <w:tab w:leader="none" w:pos="1278"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Reliance on Reports</w:t>
      </w:r>
      <w:r>
        <w:rPr>
          <w:rFonts w:ascii="Times New Roman" w:cs="Times New Roman" w:eastAsia="Times New Roman" w:hAnsi="Times New Roman"/>
          <w:sz w:val="21"/>
          <w:szCs w:val="21"/>
          <w:color w:val="auto"/>
        </w:rPr>
        <w:t>. Each member of the Committee and each member of the Board shall be fully justified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acting or failing to act, as the case may be, and shall not be liable for having so acted or failed to act in good faith, in reliance upon any report made by the independent public accountant of the Company Group and/or any other information furnished in connection with the Plan by any agent of the Company or the Committee or the Board, other than himself or herself.</w:t>
      </w:r>
    </w:p>
    <w:p>
      <w:pPr>
        <w:spacing w:after="0" w:line="1"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9"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Limitation of Liability</w:t>
      </w:r>
      <w:r>
        <w:rPr>
          <w:rFonts w:ascii="Times New Roman" w:cs="Times New Roman" w:eastAsia="Times New Roman" w:hAnsi="Times New Roman"/>
          <w:sz w:val="21"/>
          <w:szCs w:val="21"/>
          <w:color w:val="auto"/>
        </w:rPr>
        <w:t>. No member of the Board, the Committee, delegate of the Committee or any employee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of the Company shall be liable for any action taken or omitted to be taken or any determination made in good faith with respect to the Plan or any Award hereunder.</w:t>
      </w:r>
    </w:p>
    <w:p>
      <w:pPr>
        <w:spacing w:after="0" w:line="1"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Section 4.</w:t>
      </w:r>
      <w:r>
        <w:rPr>
          <w:rFonts w:ascii="Times New Roman" w:cs="Times New Roman" w:eastAsia="Times New Roman" w:hAnsi="Times New Roman"/>
          <w:sz w:val="21"/>
          <w:szCs w:val="21"/>
          <w:b w:val="1"/>
          <w:bCs w:val="1"/>
          <w:color w:val="auto"/>
        </w:rPr>
        <w:t>ELIGIBILITY.</w:t>
      </w:r>
    </w:p>
    <w:p>
      <w:pPr>
        <w:spacing w:after="0" w:line="158" w:lineRule="exact"/>
        <w:rPr>
          <w:sz w:val="20"/>
          <w:szCs w:val="20"/>
          <w:color w:val="auto"/>
        </w:rPr>
      </w:pPr>
    </w:p>
    <w:p>
      <w:pPr>
        <w:jc w:val="both"/>
        <w:ind w:firstLine="648"/>
        <w:spacing w:after="0" w:line="217" w:lineRule="auto"/>
        <w:tabs>
          <w:tab w:leader="none" w:pos="1279"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General Rule</w:t>
      </w:r>
      <w:r>
        <w:rPr>
          <w:rFonts w:ascii="Times New Roman" w:cs="Times New Roman" w:eastAsia="Times New Roman" w:hAnsi="Times New Roman"/>
          <w:sz w:val="21"/>
          <w:szCs w:val="21"/>
          <w:color w:val="auto"/>
        </w:rPr>
        <w:t>. The Committee will select Participants from among Employees, Consultants and Non-Employee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Directors. Eligibility for ISOs is limited to individuals described in the first sentence of this Section 4(a) who are employees of the Company or of a “parent corporation” or “subsidiary corporation” of the Company as those terms are defined in Section 424 of the Code. Eligibility for Options, other than ISOs, and SARs is limited to individuals described in the first sentence of this Section 4(a) who are providing direct services on the Date of Grant of the Award to the Company or to a subsidiary of the Company that would be described in the first sentence of Section 1.409A-1(b)(5)(iii)(E) of the United States Treasury Regulations.</w:t>
      </w:r>
    </w:p>
    <w:p>
      <w:pPr>
        <w:jc w:val="both"/>
        <w:ind w:firstLine="648"/>
        <w:spacing w:after="0" w:line="212" w:lineRule="auto"/>
        <w:tabs>
          <w:tab w:leader="none" w:pos="1278"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Ten-Percent Stockholders</w:t>
      </w:r>
      <w:r>
        <w:rPr>
          <w:rFonts w:ascii="Times New Roman" w:cs="Times New Roman" w:eastAsia="Times New Roman" w:hAnsi="Times New Roman"/>
          <w:sz w:val="21"/>
          <w:szCs w:val="21"/>
          <w:color w:val="auto"/>
        </w:rPr>
        <w:t>. An Employee who owns more than ten percent (10%) of the total combined voting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 of all classes of outstanding stock of the Company, a Parent or Subsidiary shall not be eligible for the grant of an ISO unless such grant satisfies the requirements of Section 422(c)(5) of the Code. For purposes of this subsection,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 As used in this subsection, “outstanding stock” shall include all stock actually issued and outstanding immediately after the grant. “Outstanding stock” shall not include Shares authorized for issuance under outstanding options held by the Employee or by any other person.</w:t>
      </w:r>
    </w:p>
    <w:p>
      <w:pPr>
        <w:spacing w:after="0" w:line="3"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Section 5.</w:t>
      </w:r>
      <w:r>
        <w:rPr>
          <w:rFonts w:ascii="Times New Roman" w:cs="Times New Roman" w:eastAsia="Times New Roman" w:hAnsi="Times New Roman"/>
          <w:sz w:val="21"/>
          <w:szCs w:val="21"/>
          <w:b w:val="1"/>
          <w:bCs w:val="1"/>
          <w:color w:val="auto"/>
        </w:rPr>
        <w:t>STOCK SUBJECT TO PLAN.</w:t>
      </w:r>
    </w:p>
    <w:p>
      <w:pPr>
        <w:spacing w:after="0" w:line="158" w:lineRule="exact"/>
        <w:rPr>
          <w:sz w:val="20"/>
          <w:szCs w:val="20"/>
          <w:color w:val="auto"/>
        </w:rPr>
      </w:pPr>
    </w:p>
    <w:p>
      <w:pPr>
        <w:jc w:val="both"/>
        <w:ind w:firstLine="648"/>
        <w:spacing w:after="0"/>
        <w:tabs>
          <w:tab w:leader="none" w:pos="1279"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Basic Limitation</w:t>
      </w:r>
      <w:r>
        <w:rPr>
          <w:rFonts w:ascii="Times New Roman" w:cs="Times New Roman" w:eastAsia="Times New Roman" w:hAnsi="Times New Roman"/>
          <w:sz w:val="21"/>
          <w:szCs w:val="21"/>
          <w:color w:val="auto"/>
        </w:rPr>
        <w:t>. The maximum aggregate number of Shares authorized for issuance as Awards under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exceed (i) 3,475,000, plus (ii) the number of Shares underlying any award granted under any of the Prior Plans that expires, terminates or is canceled or forfeited for any reason whatsoever or settled in cash (in whole or in part) or is unearned (in whole or in part) under the terms of the applicable Prior Plan. The Company shall at all times reserve and keep available sufficient Shares to satisfy the requirements of the Plan. The limitations of this Section 5(a) shall be subject to adjustment pursuant to Section 12.</w:t>
      </w:r>
    </w:p>
    <w:p>
      <w:pPr>
        <w:spacing w:after="0" w:line="102" w:lineRule="exact"/>
        <w:rPr>
          <w:rFonts w:ascii="Times New Roman" w:cs="Times New Roman" w:eastAsia="Times New Roman" w:hAnsi="Times New Roman"/>
          <w:sz w:val="21"/>
          <w:szCs w:val="21"/>
          <w:color w:val="010000"/>
        </w:rPr>
      </w:pPr>
    </w:p>
    <w:p>
      <w:pPr>
        <w:jc w:val="both"/>
        <w:ind w:firstLine="648"/>
        <w:spacing w:after="0" w:line="225" w:lineRule="auto"/>
        <w:tabs>
          <w:tab w:leader="none" w:pos="1278"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Share Counting</w:t>
      </w:r>
      <w:r>
        <w:rPr>
          <w:rFonts w:ascii="Times New Roman" w:cs="Times New Roman" w:eastAsia="Times New Roman" w:hAnsi="Times New Roman"/>
          <w:sz w:val="21"/>
          <w:szCs w:val="21"/>
          <w:color w:val="auto"/>
        </w:rPr>
        <w:t>. Shares used to pay the required Exercise Price of an Option or SAR, Shares not issued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settlement of an Option or SAR, Shares that are reacquired by the Company on the open market or otherwise using cash proceeds from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8" w:right="339" w:bottom="1440" w:gutter="0" w:footer="0" w:header="0"/>
        </w:sectPr>
      </w:pPr>
    </w:p>
    <w:bookmarkStart w:id="23" w:name="page24"/>
    <w:bookmarkEnd w:id="23"/>
    <w:p>
      <w:pPr>
        <w:jc w:val="both"/>
        <w:spacing w:after="0" w:line="217" w:lineRule="auto"/>
        <w:rPr>
          <w:sz w:val="20"/>
          <w:szCs w:val="20"/>
          <w:color w:val="auto"/>
        </w:rPr>
      </w:pPr>
      <w:r>
        <w:rPr>
          <w:rFonts w:ascii="Times New Roman" w:cs="Times New Roman" w:eastAsia="Times New Roman" w:hAnsi="Times New Roman"/>
          <w:sz w:val="21"/>
          <w:szCs w:val="21"/>
          <w:color w:val="auto"/>
        </w:rPr>
        <w:t>exercise of an Option, and Shares that are used or withheld to satisfy tax obligations of the Participant shall, notwithstanding anything herein to the contrary, not be available again for other Awards under the Plan. If a Participant elects to give up the right to receive compensation in exchange for Shares based on Fair Market Value, such Shares will be available again for Awards under the Plan. Shares underlying Awards under this Plan that are forfeited, cancelled, expire unexercised, or are settled in cash (in whole or in part) or are unearned (in whole or in part) are available again for Awards under the Plan.</w:t>
      </w:r>
    </w:p>
    <w:p>
      <w:pPr>
        <w:spacing w:after="0" w:line="1" w:lineRule="exact"/>
        <w:rPr>
          <w:sz w:val="20"/>
          <w:szCs w:val="20"/>
          <w:color w:val="auto"/>
        </w:rPr>
      </w:pPr>
    </w:p>
    <w:p>
      <w:pPr>
        <w:jc w:val="both"/>
        <w:ind w:firstLine="648"/>
        <w:spacing w:after="0" w:line="212" w:lineRule="auto"/>
        <w:tabs>
          <w:tab w:leader="none" w:pos="1279"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Limit on Incentive Stock Options</w:t>
      </w:r>
      <w:r>
        <w:rPr>
          <w:rFonts w:ascii="Times New Roman" w:cs="Times New Roman" w:eastAsia="Times New Roman" w:hAnsi="Times New Roman"/>
          <w:sz w:val="21"/>
          <w:szCs w:val="21"/>
          <w:color w:val="auto"/>
        </w:rPr>
        <w:t>. Notwithstanding the foregoing and subject to subject to adjustment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12, the Shares that may be delivered in the aggregate pursuant to the exercise of ISOs granted under the Plan shall not exceed 3,475,000 Shares, but nothing in this Section 5(c) will be construed as requiring that any, or any fixed number of, ISOs be awarded under the Plan.</w:t>
      </w:r>
    </w:p>
    <w:p>
      <w:pPr>
        <w:spacing w:after="0" w:line="1"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Substitution and Assumption of Awards</w:t>
      </w:r>
      <w:r>
        <w:rPr>
          <w:rFonts w:ascii="Times New Roman" w:cs="Times New Roman" w:eastAsia="Times New Roman" w:hAnsi="Times New Roman"/>
          <w:sz w:val="21"/>
          <w:szCs w:val="21"/>
          <w:color w:val="auto"/>
        </w:rPr>
        <w:t>. The Committee may make Awards under the Plan by assumption,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substitution, or replacement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w:t>
      </w:r>
    </w:p>
    <w:p>
      <w:pPr>
        <w:spacing w:after="0" w:line="2"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9"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Source of Shares</w:t>
      </w:r>
      <w:r>
        <w:rPr>
          <w:rFonts w:ascii="Times New Roman" w:cs="Times New Roman" w:eastAsia="Times New Roman" w:hAnsi="Times New Roman"/>
          <w:sz w:val="21"/>
          <w:szCs w:val="21"/>
          <w:color w:val="auto"/>
        </w:rPr>
        <w:t>. The Shares delivered by the Company in settlement of Awards may be authorized and unissued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shares held in the treasury of the Company, shares purchased on the open market or by private purchase, or a combination of the foregoing.</w:t>
      </w:r>
    </w:p>
    <w:p>
      <w:pPr>
        <w:spacing w:after="0" w:line="1"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Section 6.</w:t>
      </w:r>
      <w:r>
        <w:rPr>
          <w:rFonts w:ascii="Times New Roman" w:cs="Times New Roman" w:eastAsia="Times New Roman" w:hAnsi="Times New Roman"/>
          <w:sz w:val="21"/>
          <w:szCs w:val="21"/>
          <w:b w:val="1"/>
          <w:bCs w:val="1"/>
          <w:color w:val="auto"/>
        </w:rPr>
        <w:t>LIMITATIONS AND MINIMUM REQUIREMENTS.</w:t>
      </w:r>
    </w:p>
    <w:p>
      <w:pPr>
        <w:spacing w:after="0" w:line="158" w:lineRule="exact"/>
        <w:rPr>
          <w:sz w:val="20"/>
          <w:szCs w:val="20"/>
          <w:color w:val="auto"/>
        </w:rPr>
      </w:pPr>
    </w:p>
    <w:p>
      <w:pPr>
        <w:jc w:val="both"/>
        <w:ind w:firstLine="648"/>
        <w:spacing w:after="0" w:line="217" w:lineRule="auto"/>
        <w:tabs>
          <w:tab w:leader="none" w:pos="1279" w:val="left"/>
        </w:tabs>
        <w:numPr>
          <w:ilvl w:val="1"/>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Non-Employee Director Compensation Limit</w:t>
      </w:r>
      <w:r>
        <w:rPr>
          <w:rFonts w:ascii="Times New Roman" w:cs="Times New Roman" w:eastAsia="Times New Roman" w:hAnsi="Times New Roman"/>
          <w:sz w:val="21"/>
          <w:szCs w:val="21"/>
          <w:color w:val="auto"/>
        </w:rPr>
        <w:t>. The maximum number of Shares subject to Awards granted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during any one calendar year to any Non-Employee Director taken together with any cash fees paid by the Company to such Non-Employee Director during such calendar year for service on the Board (other than the calendar year in which an Non-Employee Director commences service on the Board), will not exceed five hundred thousand dollars ($500,000) in total value (calculating the value of any such Awards based on the grant date fair value of such Awards for financial reporting purposes).</w:t>
      </w:r>
    </w:p>
    <w:p>
      <w:pPr>
        <w:spacing w:after="0" w:line="4"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1"/>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Minimum Vesting Requirement</w:t>
      </w:r>
      <w:r>
        <w:rPr>
          <w:rFonts w:ascii="Times New Roman" w:cs="Times New Roman" w:eastAsia="Times New Roman" w:hAnsi="Times New Roman"/>
          <w:sz w:val="21"/>
          <w:szCs w:val="21"/>
          <w:color w:val="auto"/>
        </w:rPr>
        <w:t>. Notwithstanding any other provision of the Plan (outside of this Section 6(b))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contrary, Awards granted under the Plan (other than Cash-Based Awards) shall vest no earlier than the first anniversary of the applicable Date of Grant; provided, that the following awards shall not be subject to the foregoing minimum vesting requirement: any (i) awards granted in connection with awards that are assumed, converted or substituted pursuant to Section 5(d) of the Plan;</w:t>
      </w:r>
    </w:p>
    <w:p>
      <w:pPr>
        <w:spacing w:after="0" w:line="1" w:lineRule="exact"/>
        <w:rPr>
          <w:rFonts w:ascii="Times New Roman" w:cs="Times New Roman" w:eastAsia="Times New Roman" w:hAnsi="Times New Roman"/>
          <w:sz w:val="21"/>
          <w:szCs w:val="21"/>
          <w:color w:val="010000"/>
        </w:rPr>
      </w:pPr>
    </w:p>
    <w:p>
      <w:pPr>
        <w:jc w:val="both"/>
        <w:ind w:firstLine="7"/>
        <w:spacing w:after="0" w:line="212" w:lineRule="auto"/>
        <w:tabs>
          <w:tab w:leader="none" w:pos="32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delivered in lieu of fully vested cash obligations; (iii) awards to Non-Employee Directors that vest on the earlier of the one-year anniversary of the applicable Date of Grant and the next annual meeting of the Company’s stockholders which is at least 50 weeks after the immediately preceding year’s annual meeting of the stockholders; and (iv) additional awards the Committee may grant, up to a maximum of five percent (5%) of the available share reserve authorized for issuance under the Plan pursuant to Section 5(a) (subject to adjustment under Section 12). Nothing in this Section 6(b), however, shall preclude the Committee, in its sole discretion, from (x) providing for continued vesting or accelerated vesting for any award under the Plan upon certain events, including, without limitation, in connection with or following a Participant’s death, disability, or a Change in Control, or (y) exercising its authority under Section 13(b) at any time following the grant of an award.</w:t>
      </w:r>
    </w:p>
    <w:p>
      <w:pPr>
        <w:spacing w:after="0" w:line="3" w:lineRule="exact"/>
        <w:rPr>
          <w:rFonts w:ascii="Times New Roman" w:cs="Times New Roman" w:eastAsia="Times New Roman" w:hAnsi="Times New Roman"/>
          <w:sz w:val="21"/>
          <w:szCs w:val="21"/>
          <w:color w:val="auto"/>
        </w:rPr>
      </w:pPr>
    </w:p>
    <w:p>
      <w:pPr>
        <w:ind w:firstLine="648"/>
        <w:spacing w:after="0" w:line="232" w:lineRule="auto"/>
        <w:tabs>
          <w:tab w:leader="none" w:pos="1279"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Restriction on Acceleration Following Grant</w:t>
      </w:r>
      <w:r>
        <w:rPr>
          <w:rFonts w:ascii="Times New Roman" w:cs="Times New Roman" w:eastAsia="Times New Roman" w:hAnsi="Times New Roman"/>
          <w:sz w:val="21"/>
          <w:szCs w:val="21"/>
          <w:color w:val="auto"/>
        </w:rPr>
        <w:t>. Following the Date of Grant of an Award, the Committee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accelerate the vesting or exercisability of all or any portion 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81" w:right="339" w:bottom="1440" w:gutter="0" w:footer="0" w:header="0"/>
        </w:sectPr>
      </w:pPr>
    </w:p>
    <w:bookmarkStart w:id="24" w:name="page25"/>
    <w:bookmarkEnd w:id="24"/>
    <w:p>
      <w:pPr>
        <w:jc w:val="both"/>
        <w:spacing w:after="0" w:line="220" w:lineRule="auto"/>
        <w:rPr>
          <w:sz w:val="20"/>
          <w:szCs w:val="20"/>
          <w:color w:val="auto"/>
        </w:rPr>
      </w:pPr>
      <w:r>
        <w:rPr>
          <w:rFonts w:ascii="Times New Roman" w:cs="Times New Roman" w:eastAsia="Times New Roman" w:hAnsi="Times New Roman"/>
          <w:sz w:val="21"/>
          <w:szCs w:val="21"/>
          <w:color w:val="auto"/>
        </w:rPr>
        <w:t>an Award, in cases other than (i) in connection with a Change in Control or a Participant’s death or disability, (ii) circumstances explicitly provided under the terms of an Award Agreement, (iii) circumstances explicitly provided under the terms of an employment or service agreement with a Participant.</w:t>
      </w:r>
    </w:p>
    <w:p>
      <w:pPr>
        <w:spacing w:after="0" w:line="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7.</w:t>
      </w:r>
      <w:r>
        <w:rPr>
          <w:sz w:val="20"/>
          <w:szCs w:val="20"/>
          <w:color w:val="auto"/>
        </w:rPr>
        <w:tab/>
      </w:r>
      <w:r>
        <w:rPr>
          <w:rFonts w:ascii="Times New Roman" w:cs="Times New Roman" w:eastAsia="Times New Roman" w:hAnsi="Times New Roman"/>
          <w:sz w:val="21"/>
          <w:szCs w:val="21"/>
          <w:b w:val="1"/>
          <w:bCs w:val="1"/>
          <w:color w:val="auto"/>
        </w:rPr>
        <w:t>RESTRICTED SHARES.</w:t>
      </w:r>
    </w:p>
    <w:p>
      <w:pPr>
        <w:spacing w:after="0" w:line="158" w:lineRule="exact"/>
        <w:rPr>
          <w:sz w:val="20"/>
          <w:szCs w:val="20"/>
          <w:color w:val="auto"/>
        </w:rPr>
      </w:pPr>
    </w:p>
    <w:p>
      <w:pPr>
        <w:jc w:val="both"/>
        <w:ind w:firstLine="648"/>
        <w:spacing w:after="0" w:line="219" w:lineRule="auto"/>
        <w:tabs>
          <w:tab w:leader="none" w:pos="1279"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Restricted Share Award Agreement</w:t>
      </w:r>
      <w:r>
        <w:rPr>
          <w:rFonts w:ascii="Times New Roman" w:cs="Times New Roman" w:eastAsia="Times New Roman" w:hAnsi="Times New Roman"/>
          <w:sz w:val="21"/>
          <w:szCs w:val="21"/>
          <w:color w:val="auto"/>
        </w:rPr>
        <w:t>. Each grant of Restricted Shares under the Plan shall be evidenced by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Payment for Awards</w:t>
      </w:r>
      <w:r>
        <w:rPr>
          <w:rFonts w:ascii="Times New Roman" w:cs="Times New Roman" w:eastAsia="Times New Roman" w:hAnsi="Times New Roman"/>
          <w:sz w:val="21"/>
          <w:szCs w:val="21"/>
          <w:color w:val="auto"/>
        </w:rPr>
        <w:t>. Restricted Shares may be sold or awarded under the Plan for such consideration as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may determine, including (without limitation) cash, cash equivalents, full-recourse promissory notes, past services, and future services.</w:t>
      </w:r>
    </w:p>
    <w:p>
      <w:pPr>
        <w:spacing w:after="0" w:line="1"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9"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Vesting</w:t>
      </w:r>
      <w:r>
        <w:rPr>
          <w:rFonts w:ascii="Times New Roman" w:cs="Times New Roman" w:eastAsia="Times New Roman" w:hAnsi="Times New Roman"/>
          <w:sz w:val="21"/>
          <w:szCs w:val="21"/>
          <w:color w:val="auto"/>
        </w:rPr>
        <w:t>. Each Award of Restricted Shares may or may not be subject to vesting. Vesting shall occur, in full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spacing w:after="0" w:line="2"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Voting and Dividend Rights</w:t>
      </w:r>
      <w:r>
        <w:rPr>
          <w:rFonts w:ascii="Times New Roman" w:cs="Times New Roman" w:eastAsia="Times New Roman" w:hAnsi="Times New Roman"/>
          <w:sz w:val="21"/>
          <w:szCs w:val="21"/>
          <w:color w:val="auto"/>
        </w:rPr>
        <w:t>. A holder of Restricted Shares awarded under the Plan shall have the same voting,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and other rights as the Company’s other stockholders, except that in the case of any unvested Restricted Shares, any dividends and other distributions shall be paid or distributed to the holder in cash or, at the sole discretion of the Committee, in Shares having a Fair Market Value equal to the amount of such dividends or distributions,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to which the dividend was paid. Any entitlement to dividends and other distributions will be established and administered either consistent with an exemption from, or in compliance with, the applicable requirements of Section 409A to the extent applicable to the Participant.</w:t>
      </w:r>
    </w:p>
    <w:p>
      <w:pPr>
        <w:spacing w:after="0" w:line="4"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9"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Restrictions on Transfer of Shares</w:t>
      </w:r>
      <w:r>
        <w:rPr>
          <w:rFonts w:ascii="Times New Roman" w:cs="Times New Roman" w:eastAsia="Times New Roman" w:hAnsi="Times New Roman"/>
          <w:sz w:val="21"/>
          <w:szCs w:val="21"/>
          <w:color w:val="auto"/>
        </w:rPr>
        <w:t>. Restricted Shares shall be subject to such rights of repurchase, rights of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refusal, or other restrictions as the Committee may determine. Such restrictions shall be set forth in the applicable Restricted Share Award Agreement and shall apply in addition to any general restrictions that may apply to all holders of Shares.</w:t>
      </w:r>
    </w:p>
    <w:p>
      <w:pPr>
        <w:spacing w:after="0" w:line="1"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Section 8.</w:t>
      </w:r>
      <w:r>
        <w:rPr>
          <w:rFonts w:ascii="Times New Roman" w:cs="Times New Roman" w:eastAsia="Times New Roman" w:hAnsi="Times New Roman"/>
          <w:sz w:val="21"/>
          <w:szCs w:val="21"/>
          <w:b w:val="1"/>
          <w:bCs w:val="1"/>
          <w:color w:val="auto"/>
        </w:rPr>
        <w:t>OPTIONS.</w:t>
      </w:r>
    </w:p>
    <w:p>
      <w:pPr>
        <w:spacing w:after="0" w:line="158" w:lineRule="exact"/>
        <w:rPr>
          <w:sz w:val="20"/>
          <w:szCs w:val="20"/>
          <w:color w:val="auto"/>
        </w:rPr>
      </w:pPr>
    </w:p>
    <w:p>
      <w:pPr>
        <w:jc w:val="both"/>
        <w:ind w:firstLine="648"/>
        <w:spacing w:after="0" w:line="217" w:lineRule="auto"/>
        <w:tabs>
          <w:tab w:leader="none" w:pos="1279"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Option Award Agreement</w:t>
      </w:r>
      <w:r>
        <w:rPr>
          <w:rFonts w:ascii="Times New Roman" w:cs="Times New Roman" w:eastAsia="Times New Roman" w:hAnsi="Times New Roman"/>
          <w:sz w:val="21"/>
          <w:szCs w:val="21"/>
          <w:color w:val="auto"/>
        </w:rPr>
        <w:t>. Each grant of an Option under the Plan shall be evidenced by an Option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the Participant and the Company. Such Option shall be subject to all applicable terms and conditions of the Plan and may be subject to any other terms and conditions which are not inconsistent with the Plan. All Options granted under the Plan shall be NSOs unless the applicable Award Agreement expressly states that the Option is intended to be an ISO. The provisions of the various Option Award Agreements entered into under the Plan need not be identical.</w:t>
      </w:r>
    </w:p>
    <w:p>
      <w:pPr>
        <w:spacing w:after="0" w:line="4" w:lineRule="exact"/>
        <w:rPr>
          <w:rFonts w:ascii="Times New Roman" w:cs="Times New Roman" w:eastAsia="Times New Roman" w:hAnsi="Times New Roman"/>
          <w:sz w:val="21"/>
          <w:szCs w:val="21"/>
          <w:color w:val="010000"/>
        </w:rPr>
      </w:pPr>
    </w:p>
    <w:p>
      <w:pPr>
        <w:ind w:right="20" w:firstLine="648"/>
        <w:spacing w:after="0" w:line="232" w:lineRule="auto"/>
        <w:tabs>
          <w:tab w:leader="none" w:pos="1278"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Number of Shares</w:t>
      </w:r>
      <w:r>
        <w:rPr>
          <w:rFonts w:ascii="Times New Roman" w:cs="Times New Roman" w:eastAsia="Times New Roman" w:hAnsi="Times New Roman"/>
          <w:sz w:val="21"/>
          <w:szCs w:val="21"/>
          <w:color w:val="auto"/>
        </w:rPr>
        <w:t>. Each Option Award Agreement shall specify the number of Shares that are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and shall provide for the adjustment of such number in accordance with Section 12.</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81" w:right="339" w:bottom="1440" w:gutter="0" w:footer="0" w:header="0"/>
        </w:sectPr>
      </w:pPr>
    </w:p>
    <w:bookmarkStart w:id="25" w:name="page26"/>
    <w:bookmarkEnd w:id="25"/>
    <w:p>
      <w:pPr>
        <w:jc w:val="both"/>
        <w:ind w:firstLine="648"/>
        <w:spacing w:after="0" w:line="217" w:lineRule="auto"/>
        <w:tabs>
          <w:tab w:leader="none" w:pos="1279"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Each Option Award Agreement shall specify the Exercise Price. Except as otherwise provided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Committee in the case of Substitute Awards, the Exercise Price of an Option shall not be less than one hundred percent (100%) of the Fair Market Value of a Share on the Date of Grant (one hundred and ten percent (110%) for ISOs granted to Employees described in Section 4(b)), and the Exercise Price of an NSO shall not be less than one hundred percent (100%) of the Fair Market Value of a Share on the Date of Grant. Subject to the foregoing in this Section 8(c), the Exercise Price under any Option shall be determined by the Committee in its sole discretion. The Exercise Price shall be payable in one of the forms described in Section 8.</w:t>
      </w:r>
    </w:p>
    <w:p>
      <w:pPr>
        <w:jc w:val="both"/>
        <w:ind w:firstLine="648"/>
        <w:spacing w:after="0" w:line="212" w:lineRule="auto"/>
        <w:tabs>
          <w:tab w:leader="none" w:pos="1278"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Exercisability and Term</w:t>
      </w:r>
      <w:r>
        <w:rPr>
          <w:rFonts w:ascii="Times New Roman" w:cs="Times New Roman" w:eastAsia="Times New Roman" w:hAnsi="Times New Roman"/>
          <w:sz w:val="21"/>
          <w:szCs w:val="21"/>
          <w:color w:val="auto"/>
        </w:rPr>
        <w:t>. Each Option Award Agreement shall specify the date when all or any installment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 is to become exercisable. The Option Award Agreement shall also specify the term of the Option; provided that the term of an option shall in no event exceed ten (10) years from the Date of Grant (five (5)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8(d), the Committee in its sole discretion shall determine when all or any installment of an Option is to become exercisable and when an Option is to expire.</w:t>
      </w:r>
    </w:p>
    <w:p>
      <w:pPr>
        <w:spacing w:after="0" w:line="3"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9"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Exercise of Options</w:t>
      </w:r>
      <w:r>
        <w:rPr>
          <w:rFonts w:ascii="Times New Roman" w:cs="Times New Roman" w:eastAsia="Times New Roman" w:hAnsi="Times New Roman"/>
          <w:sz w:val="21"/>
          <w:szCs w:val="21"/>
          <w:color w:val="auto"/>
        </w:rPr>
        <w:t>. Each Option Award Agreement shall set forth the extent to which the Participant shall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2"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82"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Withholding Taxes</w:t>
      </w:r>
      <w:r>
        <w:rPr>
          <w:rFonts w:ascii="Times New Roman" w:cs="Times New Roman" w:eastAsia="Times New Roman" w:hAnsi="Times New Roman"/>
          <w:sz w:val="21"/>
          <w:szCs w:val="21"/>
          <w:color w:val="auto"/>
        </w:rPr>
        <w:t>. As a condition to the exercise of an Option, the Participant shall make such arrangements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2" w:lineRule="exact"/>
        <w:rPr>
          <w:rFonts w:ascii="Times New Roman" w:cs="Times New Roman" w:eastAsia="Times New Roman" w:hAnsi="Times New Roman"/>
          <w:sz w:val="21"/>
          <w:szCs w:val="21"/>
          <w:color w:val="010000"/>
        </w:rPr>
      </w:pPr>
    </w:p>
    <w:p>
      <w:pPr>
        <w:jc w:val="both"/>
        <w:ind w:firstLine="648"/>
        <w:spacing w:after="0"/>
        <w:tabs>
          <w:tab w:leader="none" w:pos="1278"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 Rights as a Stockholder</w:t>
      </w:r>
      <w:r>
        <w:rPr>
          <w:rFonts w:ascii="Times New Roman" w:cs="Times New Roman" w:eastAsia="Times New Roman" w:hAnsi="Times New Roman"/>
          <w:sz w:val="21"/>
          <w:szCs w:val="21"/>
          <w:color w:val="auto"/>
        </w:rPr>
        <w:t>. A Participant shall have no rights as a stockholder with respect to any Shares covered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an Option, including, without limitation, with respect to voting rights and dividends, until the date of the issuance of a stock certificate or other evidence of ownership for such Shares or until the Participant’s ownership of such Shares shall have been entered into the books of the registrar in the case of uncertificated stock. No adjustments shall be made, except as provided in Section 12.</w:t>
      </w:r>
    </w:p>
    <w:p>
      <w:pPr>
        <w:spacing w:after="0" w:line="102" w:lineRule="exact"/>
        <w:rPr>
          <w:rFonts w:ascii="Times New Roman" w:cs="Times New Roman" w:eastAsia="Times New Roman" w:hAnsi="Times New Roman"/>
          <w:sz w:val="21"/>
          <w:szCs w:val="21"/>
          <w:color w:val="010000"/>
        </w:rPr>
      </w:pPr>
    </w:p>
    <w:p>
      <w:pPr>
        <w:jc w:val="both"/>
        <w:ind w:firstLine="648"/>
        <w:spacing w:after="0" w:line="217" w:lineRule="auto"/>
        <w:tabs>
          <w:tab w:leader="none" w:pos="1278"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Modification, Extension and Renewal of Options</w:t>
      </w:r>
      <w:r>
        <w:rPr>
          <w:rFonts w:ascii="Times New Roman" w:cs="Times New Roman" w:eastAsia="Times New Roman" w:hAnsi="Times New Roman"/>
          <w:sz w:val="21"/>
          <w:szCs w:val="21"/>
          <w:color w:val="auto"/>
        </w:rPr>
        <w:t>. Within the limitations of the Plan, the Committee may modify,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provided however that other than in connection with an adjustment of Awards pursuant to Section 12, the Committee may not modify outstanding Options to reduce the Exercise Price nor may the Committee assume or accept the cancellation of outstanding Options in return for cash or the grant of new Awards when the Exercise Price is greater than the Fair Market Value of the Shares covered by such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77" w:right="339" w:bottom="1440" w:gutter="0" w:footer="0" w:header="0"/>
        </w:sectPr>
      </w:pPr>
    </w:p>
    <w:bookmarkStart w:id="26" w:name="page27"/>
    <w:bookmarkEnd w:id="26"/>
    <w:p>
      <w:pPr>
        <w:jc w:val="both"/>
        <w:spacing w:after="0" w:line="217" w:lineRule="auto"/>
        <w:rPr>
          <w:sz w:val="20"/>
          <w:szCs w:val="20"/>
          <w:color w:val="auto"/>
        </w:rPr>
      </w:pPr>
      <w:r>
        <w:rPr>
          <w:rFonts w:ascii="Times New Roman" w:cs="Times New Roman" w:eastAsia="Times New Roman" w:hAnsi="Times New Roman"/>
          <w:sz w:val="21"/>
          <w:szCs w:val="21"/>
          <w:color w:val="auto"/>
        </w:rPr>
        <w:t>Options, unless such action has been approved by the Company’s stockholders. The foregoing notwithstanding, no modification of an Option shall, without the consent of the Participant, materially impair the Participant’s rights or obligations under such Option; provided, however, that an amendment or modification that may cause an ISO to become an NSO, and any amendment or modification that is required to comply with Section 409A or the rules applicable to ISOs, as determined in the sole discretion of the Committee, shall not be treated as materially impairing the rights or obligations of the Participant.</w:t>
      </w:r>
    </w:p>
    <w:p>
      <w:pPr>
        <w:spacing w:after="0" w:line="1" w:lineRule="exact"/>
        <w:rPr>
          <w:sz w:val="20"/>
          <w:szCs w:val="20"/>
          <w:color w:val="auto"/>
        </w:rPr>
      </w:pPr>
    </w:p>
    <w:p>
      <w:pPr>
        <w:jc w:val="both"/>
        <w:ind w:firstLine="648"/>
        <w:spacing w:after="0" w:line="212" w:lineRule="auto"/>
        <w:tabs>
          <w:tab w:leader="none" w:pos="127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Exercise</w:t>
      </w:r>
      <w:r>
        <w:rPr>
          <w:rFonts w:ascii="Times New Roman" w:cs="Times New Roman" w:eastAsia="Times New Roman" w:hAnsi="Times New Roman"/>
          <w:sz w:val="21"/>
          <w:szCs w:val="21"/>
          <w:color w:val="auto"/>
        </w:rPr>
        <w:t>. No Shares shall be delivered pursuant to any Option until the Option is exercised pursuant to the terms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the Option Award Agreement and payment in full of the Exercise Price therefor is received by the Company and the Participant has paid to the Company (or such other member of the Company Group employing or engaging the Services of the Participant, as applicable) an amount equal to any federal, state, local and non-U.S. income and employment taxes required to be withheld.</w:t>
      </w:r>
    </w:p>
    <w:p>
      <w:pPr>
        <w:spacing w:after="0" w:line="2"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0"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Forms of Payment</w:t>
      </w:r>
      <w:r>
        <w:rPr>
          <w:rFonts w:ascii="Times New Roman" w:cs="Times New Roman" w:eastAsia="Times New Roman" w:hAnsi="Times New Roman"/>
          <w:sz w:val="21"/>
          <w:szCs w:val="21"/>
          <w:color w:val="auto"/>
        </w:rPr>
        <w:t>. Unless otherwise provided in the Option Award Agreement, the Exercise Price of an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payable (i) in cash, check, cash equivalent and/or Mature Shares valued at the Fair Market Value at the time the Option is exercised (including, pursuant to procedures approved by the Committee, by means of attestation of ownership of a sufficient number of Shares in lieu of actual delivery of such Mature Shares to the Company; provided that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2" w:lineRule="exact"/>
        <w:rPr>
          <w:rFonts w:ascii="Times New Roman" w:cs="Times New Roman" w:eastAsia="Times New Roman" w:hAnsi="Times New Roman"/>
          <w:sz w:val="21"/>
          <w:szCs w:val="21"/>
          <w:color w:val="010000"/>
        </w:rPr>
      </w:pPr>
    </w:p>
    <w:p>
      <w:pPr>
        <w:jc w:val="both"/>
        <w:ind w:firstLine="7"/>
        <w:spacing w:after="0" w:line="212" w:lineRule="auto"/>
        <w:tabs>
          <w:tab w:leader="none" w:pos="32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such other method as the Committee may permit in its sole discretion, including, without limitation: (A) in other property having a fair market value on the date of exercise equal to the Exercise Price or (B) if there is a public market for the Shares at such time, by means of a broker- assisted “cashless exercise” pursuant to which the Company is delivered a copy of irrevocable instructions to a stockbroker to sell the Shares otherwise deliverable upon the exercise of the Option and to deliver promptly to the Company an amount equal to the aggregate Exercise Price or (C) by a “net exercise” method whereby the Company withholds from the delivery of the Shares for which the Option was exercised that number of Shares having a Fair Market Value equal to the aggregate Exercise Price for the Shares for which the Option was exercised. Any fractional Shares shall be settled in cash. Notwithstanding anything herein or in an Option Award Agreement or Restricted Share Award Agreement to the contrary, payment may not be made in any form that is unlawful, as determined by the Committee in its sole discretion.</w:t>
      </w:r>
    </w:p>
    <w:p>
      <w:pPr>
        <w:spacing w:after="0" w:line="3" w:lineRule="exact"/>
        <w:rPr>
          <w:rFonts w:ascii="Times New Roman" w:cs="Times New Roman" w:eastAsia="Times New Roman" w:hAnsi="Times New Roman"/>
          <w:sz w:val="21"/>
          <w:szCs w:val="21"/>
          <w:color w:val="auto"/>
        </w:rPr>
      </w:pPr>
    </w:p>
    <w:p>
      <w:pPr>
        <w:jc w:val="both"/>
        <w:ind w:firstLine="648"/>
        <w:spacing w:after="0" w:line="212" w:lineRule="auto"/>
        <w:tabs>
          <w:tab w:leader="none" w:pos="1278"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Notification upon Disqualifying Disposition</w:t>
      </w:r>
      <w:r>
        <w:rPr>
          <w:rFonts w:ascii="Times New Roman" w:cs="Times New Roman" w:eastAsia="Times New Roman" w:hAnsi="Times New Roman"/>
          <w:sz w:val="21"/>
          <w:szCs w:val="21"/>
          <w:color w:val="auto"/>
        </w:rPr>
        <w:t>. Each Participant shall notify the Company in writing immediately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after such Participant makes a disqualifying disposition of any Shares acquired pursuant to the exercise of an ISO under the Plan. A disqualifying disposition is any disposition (including, without limitation, any sale) of Shares issued upon exercise of an ISO before the later of (A) two (2) years after the Date of Grant of the ISO or (B) one (1) year after the date of exercise of the ISO. The Company may, if determined by the Committee and in accordance with procedures established by the Committee, retain possession of any Shares acquired pursuant to the exercise of an ISO as agent for the applicable Participant until the end of the period described in the preceding sentence.</w:t>
      </w:r>
    </w:p>
    <w:p>
      <w:pPr>
        <w:spacing w:after="0" w:line="2"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0"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Restrictions on Transfer of Shares</w:t>
      </w:r>
      <w:r>
        <w:rPr>
          <w:rFonts w:ascii="Times New Roman" w:cs="Times New Roman" w:eastAsia="Times New Roman" w:hAnsi="Times New Roman"/>
          <w:sz w:val="21"/>
          <w:szCs w:val="21"/>
          <w:color w:val="auto"/>
        </w:rPr>
        <w:t>. Any Shares issued upon exercise of an Option shall be subject to such special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spacing w:after="0" w:line="1"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Section 9.</w:t>
      </w:r>
      <w:r>
        <w:rPr>
          <w:rFonts w:ascii="Times New Roman" w:cs="Times New Roman" w:eastAsia="Times New Roman" w:hAnsi="Times New Roman"/>
          <w:sz w:val="21"/>
          <w:szCs w:val="21"/>
          <w:b w:val="1"/>
          <w:bCs w:val="1"/>
          <w:color w:val="auto"/>
        </w:rPr>
        <w:t>STOCK APPRECIATION RIGHTS.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81" w:right="339" w:bottom="1440" w:gutter="0" w:footer="0" w:header="0"/>
        </w:sectPr>
      </w:pPr>
    </w:p>
    <w:bookmarkStart w:id="27" w:name="page28"/>
    <w:bookmarkEnd w:id="27"/>
    <w:p>
      <w:pPr>
        <w:jc w:val="both"/>
        <w:ind w:firstLine="648"/>
        <w:spacing w:after="0" w:line="219" w:lineRule="auto"/>
        <w:tabs>
          <w:tab w:leader="none" w:pos="1279"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SAR Award Agreement</w:t>
      </w:r>
      <w:r>
        <w:rPr>
          <w:rFonts w:ascii="Times New Roman" w:cs="Times New Roman" w:eastAsia="Times New Roman" w:hAnsi="Times New Roman"/>
          <w:sz w:val="21"/>
          <w:szCs w:val="21"/>
          <w:color w:val="auto"/>
        </w:rPr>
        <w:t>. Each grant of a SAR under the Plan shall be evidenced by a SAR Award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 w:lineRule="exact"/>
        <w:rPr>
          <w:rFonts w:ascii="Times New Roman" w:cs="Times New Roman" w:eastAsia="Times New Roman" w:hAnsi="Times New Roman"/>
          <w:sz w:val="21"/>
          <w:szCs w:val="21"/>
          <w:color w:val="010000"/>
        </w:rPr>
      </w:pPr>
    </w:p>
    <w:p>
      <w:pPr>
        <w:ind w:firstLine="648"/>
        <w:spacing w:after="0" w:line="212" w:lineRule="auto"/>
        <w:tabs>
          <w:tab w:leader="none" w:pos="1278"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Number of Shares</w:t>
      </w:r>
      <w:r>
        <w:rPr>
          <w:rFonts w:ascii="Times New Roman" w:cs="Times New Roman" w:eastAsia="Times New Roman" w:hAnsi="Times New Roman"/>
          <w:sz w:val="21"/>
          <w:szCs w:val="21"/>
          <w:color w:val="auto"/>
        </w:rPr>
        <w:t>. Each SAR Award Agreement shall specify the number of Shares to which the SAR pertains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shall provide for the adjustment of such number in accordance with Section 12.</w:t>
      </w:r>
    </w:p>
    <w:p>
      <w:pPr>
        <w:jc w:val="both"/>
        <w:ind w:firstLine="648"/>
        <w:spacing w:after="0" w:line="212" w:lineRule="auto"/>
        <w:tabs>
          <w:tab w:leader="none" w:pos="1279"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Each SAR Award Agreement shall specify the Exercise Price. Except as otherwise provided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in the case of Substitute Awards, the Exercise Price of a SAR shall not be less than one hundred percent (100%) of the Fair Market Value of a Share on the Date of Grant. Notwithstanding the foregoing, SARs may be granted with an Exercise Price of less than one hundred percent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2"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Exercisability and Term</w:t>
      </w:r>
      <w:r>
        <w:rPr>
          <w:rFonts w:ascii="Times New Roman" w:cs="Times New Roman" w:eastAsia="Times New Roman" w:hAnsi="Times New Roman"/>
          <w:sz w:val="21"/>
          <w:szCs w:val="21"/>
          <w:color w:val="auto"/>
        </w:rPr>
        <w:t>. Each SAR Award Agreement shall specify the date when all or any installment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SAR is to become exercisable. The SAR Award Agreement shall also specify the term of the SAR provided that the term of the SAR shall in no event exceed ten (10) years from the Date of Grant. A SAR Award Agreement may provide for accelerated exercisability in the event of the Participant’s death, Disability, retirement, or other events and may provide for expiration prior to the end of its term in the event of the termination of the Participant’s Service. A SAR granted in connection with an Option shall become exercisable and shall expire according to the same vesting schedule and expiration provisions as the corresponding Option.</w:t>
      </w:r>
    </w:p>
    <w:p>
      <w:pPr>
        <w:spacing w:after="0" w:line="2"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9"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Exercise of SARs</w:t>
      </w:r>
      <w:r>
        <w:rPr>
          <w:rFonts w:ascii="Times New Roman" w:cs="Times New Roman" w:eastAsia="Times New Roman" w:hAnsi="Times New Roman"/>
          <w:sz w:val="21"/>
          <w:szCs w:val="21"/>
          <w:color w:val="auto"/>
        </w:rPr>
        <w:t>. Upon exercise of a SAR, the Participant (or any person having the right to exercise the SAR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after the Participant’s death) shall receive from the Company (i) Shares, (ii) cash or (iii) a combination of Shares and cash, as the Committee shall determine, less an amount the Committee may require for the satisfaction of any federal, state, local or foreign withholding tax obligations that may arise in connection with such exercise. The amount of cash and/or the Fair Market Value of Shares received upon exercise of SARs shall, in the aggregate, be equal to the amount by which the Fair Market Value (on the date of surrender) of the Shares subject to the SARs exceeds the Exercise Price. Notwithstanding the foregoing, if on the expiration date of the SAR, the Fair Market Value exceeds the Exercise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spacing w:after="0" w:line="3" w:lineRule="exact"/>
        <w:rPr>
          <w:rFonts w:ascii="Times New Roman" w:cs="Times New Roman" w:eastAsia="Times New Roman" w:hAnsi="Times New Roman"/>
          <w:sz w:val="21"/>
          <w:szCs w:val="21"/>
          <w:color w:val="010000"/>
        </w:rPr>
      </w:pPr>
    </w:p>
    <w:p>
      <w:pPr>
        <w:jc w:val="both"/>
        <w:ind w:firstLine="648"/>
        <w:spacing w:after="0" w:line="216" w:lineRule="auto"/>
        <w:tabs>
          <w:tab w:leader="none" w:pos="1282"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Modification, Extension or Assumption of SARs</w:t>
      </w:r>
      <w:r>
        <w:rPr>
          <w:rFonts w:ascii="Times New Roman" w:cs="Times New Roman" w:eastAsia="Times New Roman" w:hAnsi="Times New Roman"/>
          <w:sz w:val="21"/>
          <w:szCs w:val="21"/>
          <w:color w:val="auto"/>
        </w:rPr>
        <w:t>. Within the limitations of the Plan, the Committee may modify,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provided however that other than in connection with an adjustment of Awards pursuant to Section 12, the Committee may not modify outstanding SARs to reduce the Exercise Price nor may the Committee assume or accept the cancellation of outstanding SARs in return for cash or the grant of new Awards when the Exercise Price is greater than the Fair Market Value of the Shares covered by such SARs, unless such action has been approved by the Company’s stockholders. The foregoing notwithstanding, no modification of a SAR shall, without the consent of the holder, materially impair the Participant’s rights or obligations under such SAR; provided, however, that an amendment or modification that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77" w:right="339" w:bottom="1440" w:gutter="0" w:footer="0" w:header="0"/>
        </w:sectPr>
      </w:pPr>
    </w:p>
    <w:bookmarkStart w:id="28" w:name="page29"/>
    <w:bookmarkEnd w:id="28"/>
    <w:p>
      <w:pPr>
        <w:spacing w:after="0" w:line="224" w:lineRule="auto"/>
        <w:rPr>
          <w:sz w:val="20"/>
          <w:szCs w:val="20"/>
          <w:color w:val="auto"/>
        </w:rPr>
      </w:pPr>
      <w:r>
        <w:rPr>
          <w:rFonts w:ascii="Times New Roman" w:cs="Times New Roman" w:eastAsia="Times New Roman" w:hAnsi="Times New Roman"/>
          <w:sz w:val="21"/>
          <w:szCs w:val="21"/>
          <w:color w:val="auto"/>
        </w:rPr>
        <w:t>required to comply with Section 409A, as determined in the sole discretion of the Committee, shall not be treated as materially impairing the rights or obligations of the Participant.</w:t>
      </w:r>
    </w:p>
    <w:p>
      <w:pPr>
        <w:spacing w:after="0" w:line="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10.</w:t>
      </w:r>
      <w:r>
        <w:rPr>
          <w:rFonts w:ascii="Times New Roman" w:cs="Times New Roman" w:eastAsia="Times New Roman" w:hAnsi="Times New Roman"/>
          <w:sz w:val="21"/>
          <w:szCs w:val="21"/>
          <w:b w:val="1"/>
          <w:bCs w:val="1"/>
          <w:color w:val="auto"/>
        </w:rPr>
        <w:tab/>
        <w:t>RESTRICTED STOCK UNITS.</w:t>
      </w:r>
    </w:p>
    <w:p>
      <w:pPr>
        <w:spacing w:after="0" w:line="158" w:lineRule="exact"/>
        <w:rPr>
          <w:sz w:val="20"/>
          <w:szCs w:val="20"/>
          <w:color w:val="auto"/>
        </w:rPr>
      </w:pPr>
    </w:p>
    <w:p>
      <w:pPr>
        <w:jc w:val="both"/>
        <w:ind w:firstLine="648"/>
        <w:spacing w:after="0" w:line="219" w:lineRule="auto"/>
        <w:tabs>
          <w:tab w:leader="none" w:pos="1279"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Restricted Stock Unit Award Agreement</w:t>
      </w:r>
      <w:r>
        <w:rPr>
          <w:rFonts w:ascii="Times New Roman" w:cs="Times New Roman" w:eastAsia="Times New Roman" w:hAnsi="Times New Roman"/>
          <w:sz w:val="21"/>
          <w:szCs w:val="21"/>
          <w:color w:val="auto"/>
        </w:rPr>
        <w:t>. Each grant of Restricted Stock Units under the Plan shall be evidenced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 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spacing w:after="0" w:line="1" w:lineRule="exact"/>
        <w:rPr>
          <w:rFonts w:ascii="Times New Roman" w:cs="Times New Roman" w:eastAsia="Times New Roman" w:hAnsi="Times New Roman"/>
          <w:sz w:val="21"/>
          <w:szCs w:val="21"/>
          <w:color w:val="010000"/>
        </w:rPr>
      </w:pPr>
    </w:p>
    <w:p>
      <w:pPr>
        <w:ind w:firstLine="648"/>
        <w:spacing w:after="0" w:line="212" w:lineRule="auto"/>
        <w:tabs>
          <w:tab w:leader="none" w:pos="1278"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Payment for Awards</w:t>
      </w:r>
      <w:r>
        <w:rPr>
          <w:rFonts w:ascii="Times New Roman" w:cs="Times New Roman" w:eastAsia="Times New Roman" w:hAnsi="Times New Roman"/>
          <w:sz w:val="21"/>
          <w:szCs w:val="21"/>
          <w:color w:val="auto"/>
        </w:rPr>
        <w:t>. To the extent that an Award is granted in the form of Restricted Stock Units, no cash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shall be required of the Award recipients.</w:t>
      </w:r>
    </w:p>
    <w:p>
      <w:pPr>
        <w:jc w:val="both"/>
        <w:ind w:firstLine="648"/>
        <w:spacing w:after="0" w:line="212" w:lineRule="auto"/>
        <w:tabs>
          <w:tab w:leader="none" w:pos="1279"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Vesting Conditions and Term</w:t>
      </w:r>
      <w:r>
        <w:rPr>
          <w:rFonts w:ascii="Times New Roman" w:cs="Times New Roman" w:eastAsia="Times New Roman" w:hAnsi="Times New Roman"/>
          <w:sz w:val="21"/>
          <w:szCs w:val="21"/>
          <w:color w:val="auto"/>
        </w:rPr>
        <w:t>. Each Award of Restricted Stock Units may or may not be subject to vesting.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Vesting shall occur, in full or in installments, upon satisfaction of the conditions specified in the Restricted Stock Unit Award Agreement. A Restricted Stock Unit Award Agreement may provide for accelerated vesting in the event of the Participant’s death, Disability, retirement, or other events.</w:t>
      </w:r>
    </w:p>
    <w:p>
      <w:pPr>
        <w:spacing w:after="0" w:line="1"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Voting and Dividend Rights</w:t>
      </w:r>
      <w:r>
        <w:rPr>
          <w:rFonts w:ascii="Times New Roman" w:cs="Times New Roman" w:eastAsia="Times New Roman" w:hAnsi="Times New Roman"/>
          <w:sz w:val="21"/>
          <w:szCs w:val="21"/>
          <w:color w:val="auto"/>
        </w:rPr>
        <w:t>. The holders of Restricted Stock Units shall have no voting rights. Prior to settlement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forfeiture, any Restricted Stock Unit awarded under the Plan may, at the Committee’s discretion, carry with it a right to dividend equivalents. Such right, if awarded, entitles the holder to be credited with an amount equal to all dividends or other distributions paid on one Share while the Restricted Stock Unit is outstanding. Settlement of dividend equivalents may be made, at the sole discretion of the Committee, in the form of cash, Shares having a Fair Market Value equal to the amount of such dividends,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 Any entitlement to dividend equivalents or similar entitlements will be established and administered either consistent with an exemption from, or in compliance with, the applicable requirements of Section 409A to the extent applicable to the Participant.</w:t>
      </w:r>
    </w:p>
    <w:p>
      <w:pPr>
        <w:spacing w:after="0" w:line="5"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9"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Form and Time of Settlement of Restricted Stock Units</w:t>
      </w:r>
      <w:r>
        <w:rPr>
          <w:rFonts w:ascii="Times New Roman" w:cs="Times New Roman" w:eastAsia="Times New Roman" w:hAnsi="Times New Roman"/>
          <w:sz w:val="21"/>
          <w:szCs w:val="21"/>
          <w:color w:val="auto"/>
        </w:rPr>
        <w:t>. Settlement of vested Restricted Stock Units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in the form of (i) cash, (ii) Shares or (iii) any combination of both, as determined by the Committee. The actual number of Restricted Stock Units eligible for settlement may be larger or smaller than the number included in the original Award, based on predetermined performance factors. If a cash payment is made in lieu of delivering Shares in settlement of vested Restricted Stock Units, the amount of such payment shall be equal to the Fair Market Value of the Shares as of the date on which the Restricted Stock Units vest, less an amount equal to any federal, state, local and non-U.S. income and employment taxes required to be withheld.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to the extent applicable. Until an Award of Restricted Stock Units is settled, the number of such Restricted Stock Units shall be subject to adjustment pursuant to Section 12.</w:t>
      </w:r>
    </w:p>
    <w:p>
      <w:pPr>
        <w:spacing w:after="0" w:line="4" w:lineRule="exact"/>
        <w:rPr>
          <w:rFonts w:ascii="Times New Roman" w:cs="Times New Roman" w:eastAsia="Times New Roman" w:hAnsi="Times New Roman"/>
          <w:sz w:val="21"/>
          <w:szCs w:val="21"/>
          <w:color w:val="010000"/>
        </w:rPr>
      </w:pPr>
    </w:p>
    <w:p>
      <w:pPr>
        <w:ind w:firstLine="648"/>
        <w:spacing w:after="0" w:line="232" w:lineRule="auto"/>
        <w:tabs>
          <w:tab w:leader="none" w:pos="1282"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Creditors’ Rights</w:t>
      </w:r>
      <w:r>
        <w:rPr>
          <w:rFonts w:ascii="Times New Roman" w:cs="Times New Roman" w:eastAsia="Times New Roman" w:hAnsi="Times New Roman"/>
          <w:sz w:val="21"/>
          <w:szCs w:val="21"/>
          <w:color w:val="auto"/>
        </w:rPr>
        <w:t>. A holder of Restricted Stock Units shall have no rights other than those of a general creditor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Restricted Stock Units represent an unfunded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81" w:right="339" w:bottom="1440" w:gutter="0" w:footer="0" w:header="0"/>
        </w:sectPr>
      </w:pPr>
    </w:p>
    <w:bookmarkStart w:id="29" w:name="page30"/>
    <w:bookmarkEnd w:id="29"/>
    <w:p>
      <w:pPr>
        <w:jc w:val="both"/>
        <w:spacing w:after="0" w:line="224" w:lineRule="auto"/>
        <w:rPr>
          <w:sz w:val="20"/>
          <w:szCs w:val="20"/>
          <w:color w:val="auto"/>
        </w:rPr>
      </w:pPr>
      <w:r>
        <w:rPr>
          <w:rFonts w:ascii="Times New Roman" w:cs="Times New Roman" w:eastAsia="Times New Roman" w:hAnsi="Times New Roman"/>
          <w:sz w:val="21"/>
          <w:szCs w:val="21"/>
          <w:color w:val="auto"/>
        </w:rPr>
        <w:t>and unsecured obligation of the Company subject to the terms and conditions of the applicable Restricted Stock Unit Award Agreement.</w:t>
      </w:r>
    </w:p>
    <w:p>
      <w:pPr>
        <w:spacing w:after="0" w:line="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11.</w:t>
      </w:r>
      <w:r>
        <w:rPr>
          <w:sz w:val="20"/>
          <w:szCs w:val="20"/>
          <w:color w:val="auto"/>
        </w:rPr>
        <w:tab/>
      </w:r>
      <w:r>
        <w:rPr>
          <w:rFonts w:ascii="Times New Roman" w:cs="Times New Roman" w:eastAsia="Times New Roman" w:hAnsi="Times New Roman"/>
          <w:sz w:val="20"/>
          <w:szCs w:val="20"/>
          <w:b w:val="1"/>
          <w:bCs w:val="1"/>
          <w:color w:val="auto"/>
        </w:rPr>
        <w:t>CASH-BASED AWARDS AND STOCK BASED AWARDS.</w:t>
      </w:r>
    </w:p>
    <w:p>
      <w:pPr>
        <w:spacing w:after="0" w:line="189"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1"/>
          <w:szCs w:val="21"/>
          <w:color w:val="auto"/>
        </w:rPr>
        <w:t>The Committee may, in its sole discretion, grant Cash-Based Awards and Other Stock-Based Awards to any Participant in such number or amount and upon such terms, and subject to such conditions, as the Committee shall determine at the time of grant and specify in an applicable Award Agreement. Each Other Stock-Based Award so granted shall be subject to such conditions not inconsistent with the Plan as may be reflected in the applicable Award Agreement. The Committee shall determine the maximum duration of the Cash-Based Award or Other Stock-Based Awards, the amount of cash which may be payable pursuant to the Cash-Based Award, the conditions upon which the Cash-Based Award or Other Stock-Based Awards shall become vested or payable, and such other provisions as the Committee shall determine. Each Cash-Based Award shall specify a cash-denominated payment amount, formula, or payment ranges as determined by the Committee. Payment, if any, with respect to a Cash-Based Award or Other Stock-Based Award shall be made in accordance with the terms of the Award and may be made in cash or in Shares, as the Committee determines.</w:t>
      </w:r>
    </w:p>
    <w:p>
      <w:pPr>
        <w:spacing w:after="0" w:line="14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12.</w:t>
      </w:r>
      <w:r>
        <w:rPr>
          <w:rFonts w:ascii="Times New Roman" w:cs="Times New Roman" w:eastAsia="Times New Roman" w:hAnsi="Times New Roman"/>
          <w:sz w:val="21"/>
          <w:szCs w:val="21"/>
          <w:b w:val="1"/>
          <w:bCs w:val="1"/>
          <w:color w:val="auto"/>
        </w:rPr>
        <w:tab/>
        <w:t>ADJUSTMENT OF SHARES.</w:t>
      </w:r>
    </w:p>
    <w:p>
      <w:pPr>
        <w:spacing w:after="0" w:line="186" w:lineRule="exact"/>
        <w:rPr>
          <w:sz w:val="20"/>
          <w:szCs w:val="20"/>
          <w:color w:val="auto"/>
        </w:rPr>
      </w:pPr>
    </w:p>
    <w:p>
      <w:pPr>
        <w:jc w:val="both"/>
        <w:ind w:firstLine="648"/>
        <w:spacing w:after="0" w:line="239" w:lineRule="auto"/>
        <w:tabs>
          <w:tab w:leader="none" w:pos="1279"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In the event of a subdivision of the outstanding Stock, a declaration of a dividend payable in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that affects the Shares, or unusual or nonrecurring events (including, without limitation, a Change in Control) affecting any member of the Company Group, or the financial statements of any member of the Company Group,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 (in each case without the Participant’s consent):</w:t>
      </w:r>
    </w:p>
    <w:p>
      <w:pPr>
        <w:spacing w:after="0" w:line="1" w:lineRule="exact"/>
        <w:rPr>
          <w:rFonts w:ascii="Times New Roman" w:cs="Times New Roman" w:eastAsia="Times New Roman" w:hAnsi="Times New Roman"/>
          <w:sz w:val="21"/>
          <w:szCs w:val="21"/>
          <w:color w:val="010000"/>
        </w:rPr>
      </w:pPr>
    </w:p>
    <w:p>
      <w:pPr>
        <w:jc w:val="both"/>
        <w:ind w:left="1940" w:hanging="651"/>
        <w:spacing w:after="0" w:line="222" w:lineRule="auto"/>
        <w:tabs>
          <w:tab w:leader="none" w:pos="1928" w:val="left"/>
        </w:tabs>
        <w:numPr>
          <w:ilvl w:val="1"/>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Adjusting (1) the class(es) and number of securities available for future Awards and the limitations set forth under Section 5; (2) the class(es) and number of securities (or number and kind of other securities or other property) covered by each outstanding Award; (3) any performance requirements applicable to each outstanding Award; and (4) the Exercise Price under each outstanding Option and SAR; and</w:t>
      </w:r>
    </w:p>
    <w:p>
      <w:pPr>
        <w:spacing w:after="0" w:line="151" w:lineRule="exact"/>
        <w:rPr>
          <w:rFonts w:ascii="Times New Roman" w:cs="Times New Roman" w:eastAsia="Times New Roman" w:hAnsi="Times New Roman"/>
          <w:sz w:val="21"/>
          <w:szCs w:val="21"/>
          <w:color w:val="010000"/>
        </w:rPr>
      </w:pPr>
    </w:p>
    <w:p>
      <w:pPr>
        <w:jc w:val="both"/>
        <w:ind w:left="1940" w:hanging="651"/>
        <w:spacing w:after="0"/>
        <w:tabs>
          <w:tab w:leader="none" w:pos="1934" w:val="left"/>
        </w:tabs>
        <w:numPr>
          <w:ilvl w:val="1"/>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Subject to any limitations or reductions as may be necessary to comply with Section 409A, cancelling any one or more outstanding Awards and causing to be paid to the holders thereof, in cash, Shares, other securities or other property, or any combination thereof, the value of such Awards, if any, as determined by the Committee (which if applicable may be based upon the price per Share received or to be received by other stockholders of the Company in such event), including without limitation, in the case of an outstanding Option or SAR, a cash payment in an amount equal to the excess, if any, of the Fair Market Value (as of a date specified by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81" w:right="339" w:bottom="1440" w:gutter="0" w:footer="0" w:header="0"/>
        </w:sectPr>
      </w:pPr>
    </w:p>
    <w:bookmarkStart w:id="30" w:name="page31"/>
    <w:bookmarkEnd w:id="30"/>
    <w:p>
      <w:pPr>
        <w:jc w:val="both"/>
        <w:ind w:left="1940"/>
        <w:spacing w:after="0" w:line="221" w:lineRule="auto"/>
        <w:rPr>
          <w:sz w:val="20"/>
          <w:szCs w:val="20"/>
          <w:color w:val="auto"/>
        </w:rPr>
      </w:pPr>
      <w:r>
        <w:rPr>
          <w:rFonts w:ascii="Times New Roman" w:cs="Times New Roman" w:eastAsia="Times New Roman" w:hAnsi="Times New Roman"/>
          <w:sz w:val="21"/>
          <w:szCs w:val="21"/>
          <w:color w:val="auto"/>
        </w:rPr>
        <w:t>Committee) of the Shares subject to such Option or SAR over the aggregate Exercise Price of such Option or SAR (it being understood that, in such event, any Option or SAR having a per share Exercise Price equal to, or in excess of, the Fair Market Value of a Share subject thereto may be canceled and terminated without any payment or consideration therefor) or, in the case of Restricted Stock, Restricted Stock Units or Other Stock-Based Awards that are not vested as of such cancellation, a cash payment or equity subject to deferred vesting and delivery consistent with the vesting restrictions applicable to such Restricted Stock, Restricted Stock Units or Other Stock-Based Awards prior to cancellation, or the underlying shares in respect thereof;</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case of any “equity restructuring” (within the meaning of the Financial Accounting Standards Board Statement of Financial Accounting Standards No. 123 (revised 2004)), the Committee shall make an equitable or proportionate adjustment to outstanding Awards to reflect such equity restructuring. Any adjustment in ISOs under this Section 12 (other than any cancellation of ISOs) shall be made only to the extent not constituting a “modification” within the meaning of Section 424(h)</w:t>
      </w:r>
    </w:p>
    <w:p>
      <w:pPr>
        <w:spacing w:after="0" w:line="2" w:lineRule="exact"/>
        <w:rPr>
          <w:sz w:val="20"/>
          <w:szCs w:val="20"/>
          <w:color w:val="auto"/>
        </w:rPr>
      </w:pPr>
    </w:p>
    <w:p>
      <w:pPr>
        <w:jc w:val="both"/>
        <w:ind w:firstLine="7"/>
        <w:spacing w:after="0" w:line="258" w:lineRule="auto"/>
        <w:tabs>
          <w:tab w:leader="none" w:pos="30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and any adjustments under this Section 12 shall be made in a manner that does not adversely affect the exemption provided pursuant to Rule 16b-3 under the Exchange Act, to the extent applicable. The Company shall give each Participant notice of an adjustment hereunder and, upon notice, such adjustment shall be conclusive and binding for all purposes.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Prior to any payment or adjustment contemplated under this Section 12, the Committee may require a Participant to (x) represent and warrant as to the unencumbered title to the Participant’s Awards, (y)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(z) deliver customary transfer documentation as reasonably determined by the Committee.</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Any acceleration of payment of an amount that is subject to Section 409A will be delayed, if necessary, until the earliest time that such payment would be permissible under Section 409A without triggering any additional taxes applicable under Section 409A. Any actions hereunder will comply with, or be exempt from, Section 409A to the extent determined by the Committee to be reasonably practicable. The Company will have no obligation to treat all Awards, all Awards held by a Participant, or all Awards of the same type, similarly.</w:t>
      </w:r>
    </w:p>
    <w:p>
      <w:pPr>
        <w:spacing w:after="0" w:line="164" w:lineRule="exact"/>
        <w:rPr>
          <w:sz w:val="20"/>
          <w:szCs w:val="20"/>
          <w:color w:val="auto"/>
        </w:rPr>
      </w:pPr>
    </w:p>
    <w:p>
      <w:pPr>
        <w:ind w:firstLine="648"/>
        <w:spacing w:after="0" w:line="226" w:lineRule="auto"/>
        <w:tabs>
          <w:tab w:leader="none" w:pos="1278"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Dissolution or Liquidation</w:t>
      </w:r>
      <w:r>
        <w:rPr>
          <w:rFonts w:ascii="Times New Roman" w:cs="Times New Roman" w:eastAsia="Times New Roman" w:hAnsi="Times New Roman"/>
          <w:sz w:val="21"/>
          <w:szCs w:val="21"/>
          <w:color w:val="auto"/>
        </w:rPr>
        <w:t>. To the extent not previously exercised or settled, Options, SARs, and Restricted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shall terminate immediately prior to the dissolution or liquidation of the Company.</w:t>
      </w:r>
    </w:p>
    <w:p>
      <w:pPr>
        <w:jc w:val="both"/>
        <w:ind w:firstLine="648"/>
        <w:spacing w:after="0" w:line="225" w:lineRule="auto"/>
        <w:tabs>
          <w:tab w:leader="none" w:pos="1279"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Effect of Change in Control</w:t>
      </w:r>
      <w:r>
        <w:rPr>
          <w:rFonts w:ascii="Times New Roman" w:cs="Times New Roman" w:eastAsia="Times New Roman" w:hAnsi="Times New Roman"/>
          <w:sz w:val="21"/>
          <w:szCs w:val="21"/>
          <w:color w:val="auto"/>
        </w:rPr>
        <w:t>. Except to the extent otherwise provided in an Award Agreement, in the event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in Control, notwithstanding any provision of the Plan to the contrary, the Committee shall take the following actions with respect to all outstanding Awards: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81" w:right="339" w:bottom="1440" w:gutter="0" w:footer="0" w:header="0"/>
        </w:sectPr>
      </w:pPr>
    </w:p>
    <w:bookmarkStart w:id="31" w:name="page32"/>
    <w:bookmarkEnd w:id="31"/>
    <w:p>
      <w:pPr>
        <w:ind w:left="1920" w:hanging="631"/>
        <w:spacing w:after="0"/>
        <w:tabs>
          <w:tab w:leader="none" w:pos="1920"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Options and SARs shall become exercisable immediately prior to the Change in Control;</w:t>
      </w:r>
    </w:p>
    <w:p>
      <w:pPr>
        <w:spacing w:after="0" w:line="185" w:lineRule="exact"/>
        <w:rPr>
          <w:rFonts w:ascii="Times New Roman" w:cs="Times New Roman" w:eastAsia="Times New Roman" w:hAnsi="Times New Roman"/>
          <w:sz w:val="21"/>
          <w:szCs w:val="21"/>
          <w:color w:val="010000"/>
        </w:rPr>
      </w:pPr>
    </w:p>
    <w:p>
      <w:pPr>
        <w:ind w:left="1940" w:hanging="651"/>
        <w:spacing w:after="0" w:line="249" w:lineRule="auto"/>
        <w:tabs>
          <w:tab w:leader="none" w:pos="1934"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Awards of Restricted Stock, Restricted Stock Units, Other Stock-Based Awards and Cash-Based Awards shall become fully vested immediately prior to the Change in Control;</w:t>
      </w:r>
    </w:p>
    <w:p>
      <w:pPr>
        <w:spacing w:after="0" w:line="140" w:lineRule="exact"/>
        <w:rPr>
          <w:rFonts w:ascii="Times New Roman" w:cs="Times New Roman" w:eastAsia="Times New Roman" w:hAnsi="Times New Roman"/>
          <w:sz w:val="21"/>
          <w:szCs w:val="21"/>
          <w:color w:val="010000"/>
        </w:rPr>
      </w:pPr>
    </w:p>
    <w:p>
      <w:pPr>
        <w:ind w:left="1940" w:hanging="651"/>
        <w:spacing w:after="0" w:line="249" w:lineRule="auto"/>
        <w:tabs>
          <w:tab w:leader="none" w:pos="1940"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performance criteria applicable to an Award will be deemed satisfied at (A) for stock price goals, the actual level of performance and (B) for all other performance goals, the target level of performance; and</w:t>
      </w:r>
    </w:p>
    <w:p>
      <w:pPr>
        <w:spacing w:after="0" w:line="140" w:lineRule="exact"/>
        <w:rPr>
          <w:rFonts w:ascii="Times New Roman" w:cs="Times New Roman" w:eastAsia="Times New Roman" w:hAnsi="Times New Roman"/>
          <w:sz w:val="21"/>
          <w:szCs w:val="21"/>
          <w:color w:val="010000"/>
        </w:rPr>
      </w:pPr>
    </w:p>
    <w:p>
      <w:pPr>
        <w:ind w:left="1940" w:hanging="651"/>
        <w:spacing w:after="0" w:line="249" w:lineRule="auto"/>
        <w:tabs>
          <w:tab w:leader="none" w:pos="1928"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Awards previously deferred shall be settled in full as soon as practicable, to the extent permitted under Section 409A.</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To the extent practicable, any actions taken by the Committee under the immediately preceding clauses (a) through (c) shall occur in a manner and at a time which allows affected Participants the ability to participate in the Change in Control transactions with respect to the Shares subject to their Awards.</w:t>
      </w:r>
    </w:p>
    <w:p>
      <w:pPr>
        <w:spacing w:after="0" w:line="143" w:lineRule="exact"/>
        <w:rPr>
          <w:sz w:val="20"/>
          <w:szCs w:val="20"/>
          <w:color w:val="auto"/>
        </w:rPr>
      </w:pPr>
    </w:p>
    <w:p>
      <w:pPr>
        <w:jc w:val="both"/>
        <w:ind w:firstLine="648"/>
        <w:spacing w:after="0" w:line="215" w:lineRule="auto"/>
        <w:tabs>
          <w:tab w:leader="none" w:pos="1278"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Reservation of Rights</w:t>
      </w:r>
      <w:r>
        <w:rPr>
          <w:rFonts w:ascii="Times New Roman" w:cs="Times New Roman" w:eastAsia="Times New Roman" w:hAnsi="Times New Roman"/>
          <w:sz w:val="21"/>
          <w:szCs w:val="21"/>
          <w:color w:val="auto"/>
        </w:rPr>
        <w:t>. Except as provided in this Section 12, a Participant shall have no rights by reason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potential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w:t>
      </w:r>
    </w:p>
    <w:p>
      <w:pPr>
        <w:spacing w:after="0" w:line="2"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 xml:space="preserve">Section 13.   </w:t>
      </w:r>
      <w:r>
        <w:rPr>
          <w:rFonts w:ascii="Times New Roman" w:cs="Times New Roman" w:eastAsia="Times New Roman" w:hAnsi="Times New Roman"/>
          <w:sz w:val="21"/>
          <w:szCs w:val="21"/>
          <w:b w:val="1"/>
          <w:bCs w:val="1"/>
          <w:color w:val="000000"/>
        </w:rPr>
        <w:t>DEFERRAL OF AWARDS.</w:t>
      </w:r>
    </w:p>
    <w:p>
      <w:pPr>
        <w:spacing w:after="0" w:line="158" w:lineRule="exact"/>
        <w:rPr>
          <w:sz w:val="20"/>
          <w:szCs w:val="20"/>
          <w:color w:val="auto"/>
        </w:rPr>
      </w:pPr>
    </w:p>
    <w:p>
      <w:pPr>
        <w:ind w:firstLine="648"/>
        <w:spacing w:after="0" w:line="226" w:lineRule="auto"/>
        <w:tabs>
          <w:tab w:leader="none" w:pos="1279"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Committee Powers</w:t>
      </w:r>
      <w:r>
        <w:rPr>
          <w:rFonts w:ascii="Times New Roman" w:cs="Times New Roman" w:eastAsia="Times New Roman" w:hAnsi="Times New Roman"/>
          <w:sz w:val="21"/>
          <w:szCs w:val="21"/>
          <w:color w:val="auto"/>
        </w:rPr>
        <w:t>. Subject to compliance with Section 409A, the Committee (in its sole discretion) may permit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 a Participant to:</w:t>
      </w:r>
    </w:p>
    <w:p>
      <w:pPr>
        <w:jc w:val="both"/>
        <w:ind w:left="1940" w:hanging="651"/>
        <w:spacing w:after="0" w:line="225" w:lineRule="auto"/>
        <w:tabs>
          <w:tab w:leader="none" w:pos="1928"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p>
      <w:pPr>
        <w:spacing w:after="0" w:line="151" w:lineRule="exact"/>
        <w:rPr>
          <w:rFonts w:ascii="Times New Roman" w:cs="Times New Roman" w:eastAsia="Times New Roman" w:hAnsi="Times New Roman"/>
          <w:sz w:val="21"/>
          <w:szCs w:val="21"/>
          <w:color w:val="010000"/>
        </w:rPr>
      </w:pPr>
    </w:p>
    <w:p>
      <w:pPr>
        <w:ind w:left="1940" w:hanging="651"/>
        <w:spacing w:after="0" w:line="249" w:lineRule="auto"/>
        <w:tabs>
          <w:tab w:leader="none" w:pos="1934"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Have Shares that otherwise would be delivered to such Participant as a result of the exercise of an Option or SAR converted into an equal number of Restricted Stock Units; or</w:t>
      </w:r>
    </w:p>
    <w:p>
      <w:pPr>
        <w:spacing w:after="0" w:line="140" w:lineRule="exact"/>
        <w:rPr>
          <w:rFonts w:ascii="Times New Roman" w:cs="Times New Roman" w:eastAsia="Times New Roman" w:hAnsi="Times New Roman"/>
          <w:sz w:val="21"/>
          <w:szCs w:val="21"/>
          <w:color w:val="010000"/>
        </w:rPr>
      </w:pPr>
    </w:p>
    <w:p>
      <w:pPr>
        <w:jc w:val="both"/>
        <w:ind w:left="1940" w:hanging="651"/>
        <w:spacing w:after="0" w:line="233" w:lineRule="auto"/>
        <w:tabs>
          <w:tab w:leader="none" w:pos="1940"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81" w:right="339" w:bottom="1440" w:gutter="0" w:footer="0" w:header="0"/>
        </w:sectPr>
      </w:pPr>
    </w:p>
    <w:bookmarkStart w:id="32" w:name="page33"/>
    <w:bookmarkEnd w:id="32"/>
    <w:p>
      <w:pPr>
        <w:spacing w:after="0" w:line="288" w:lineRule="auto"/>
        <w:rPr>
          <w:sz w:val="20"/>
          <w:szCs w:val="20"/>
          <w:color w:val="auto"/>
        </w:rPr>
      </w:pPr>
      <w:r>
        <w:rPr>
          <w:rFonts w:ascii="Times New Roman" w:cs="Times New Roman" w:eastAsia="Times New Roman" w:hAnsi="Times New Roman"/>
          <w:sz w:val="21"/>
          <w:szCs w:val="21"/>
          <w:color w:val="auto"/>
        </w:rPr>
        <w:t>Such amounts shall be determined by reference to the Fair Market Value of such Shares as of the date when they otherwise would have been delivered to such Participant.</w:t>
      </w:r>
    </w:p>
    <w:p>
      <w:pPr>
        <w:spacing w:after="0" w:line="111" w:lineRule="exact"/>
        <w:rPr>
          <w:sz w:val="20"/>
          <w:szCs w:val="20"/>
          <w:color w:val="auto"/>
        </w:rPr>
      </w:pPr>
    </w:p>
    <w:p>
      <w:pPr>
        <w:jc w:val="both"/>
        <w:ind w:firstLine="648"/>
        <w:spacing w:after="0" w:line="216" w:lineRule="auto"/>
        <w:tabs>
          <w:tab w:leader="none" w:pos="1278"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General Rules</w:t>
      </w:r>
      <w:r>
        <w:rPr>
          <w:rFonts w:ascii="Times New Roman" w:cs="Times New Roman" w:eastAsia="Times New Roman" w:hAnsi="Times New Roman"/>
          <w:sz w:val="21"/>
          <w:szCs w:val="21"/>
          <w:color w:val="auto"/>
        </w:rPr>
        <w:t>. A deferred compensation account established under this Section 13 may be credited with interest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pacing w:after="0" w:line="2"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 xml:space="preserve">Section 14.   </w:t>
      </w:r>
      <w:r>
        <w:rPr>
          <w:rFonts w:ascii="Times New Roman" w:cs="Times New Roman" w:eastAsia="Times New Roman" w:hAnsi="Times New Roman"/>
          <w:sz w:val="21"/>
          <w:szCs w:val="21"/>
          <w:b w:val="1"/>
          <w:bCs w:val="1"/>
          <w:color w:val="000000"/>
        </w:rPr>
        <w:t>AWARDS UNDER OTHER PLANS.</w:t>
      </w:r>
    </w:p>
    <w:p>
      <w:pPr>
        <w:spacing w:after="0" w:line="18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21"/>
          <w:szCs w:val="21"/>
          <w:color w:val="auto"/>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spacing w:after="0" w:line="12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15.</w:t>
      </w:r>
      <w:r>
        <w:rPr>
          <w:rFonts w:ascii="Times New Roman" w:cs="Times New Roman" w:eastAsia="Times New Roman" w:hAnsi="Times New Roman"/>
          <w:sz w:val="21"/>
          <w:szCs w:val="21"/>
          <w:b w:val="1"/>
          <w:bCs w:val="1"/>
          <w:color w:val="auto"/>
        </w:rPr>
        <w:tab/>
        <w:t>PAYMENT OF DIRECTOR FEES IN SECURITIES.</w:t>
      </w:r>
    </w:p>
    <w:p>
      <w:pPr>
        <w:spacing w:after="0" w:line="217"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21"/>
          <w:szCs w:val="21"/>
          <w:color w:val="auto"/>
        </w:rPr>
        <w:t>The Board, in its discretion, may permit each Non-Employee Director to elect to receive his or her annual cash retainer payments and/or meeting fees from the Company in the form of NSOs, SARs, Restricted Shares, Restricted Stock Units, or a combination thereof. In addition, the Board may mandate payment in any of such alternative forms. Such NSOs, SARs, Restricted Shares, and Restricted Stock Units shall be issued under the Plan. An election under this Section 15 shall be filed with the Company on the prescribed form. The number of NSOs, SARs, Restricted Shares, or Restricted Stock Units to be granted to a Non-Employee Director in lieu of annual retainers and meeting fees that would otherwise be paid in cash shall be calculated in a manner determined by the Board. The terms of such NSOs, SARs, Restricted Shares, or Restricted Stock Units shall also be determined by the Board. No provision of this Section 15 shall be effective unless and until the Board has determined to implement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16.</w:t>
      </w:r>
      <w:r>
        <w:rPr>
          <w:rFonts w:ascii="Times New Roman" w:cs="Times New Roman" w:eastAsia="Times New Roman" w:hAnsi="Times New Roman"/>
          <w:sz w:val="21"/>
          <w:szCs w:val="21"/>
          <w:b w:val="1"/>
          <w:bCs w:val="1"/>
          <w:color w:val="auto"/>
        </w:rPr>
        <w:tab/>
        <w:t>LEGAL AND REGULATORY REQUIREMENTS.</w:t>
      </w:r>
    </w:p>
    <w:p>
      <w:pPr>
        <w:spacing w:after="0" w:line="217"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Shares shall not be issued under the Plan unless the issuance and delivery of such Shares complies with (or is exempt from) all applicable requirements of law, including (without limitation) the Securities Act, United States state securities laws and regulations, the regulations of any stock exchange on which the Company’s securities may then be listed and any foreign securities, exchange control or other applicable laws,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08" w:right="339" w:bottom="1440" w:gutter="0" w:footer="0" w:header="0"/>
        </w:sectPr>
      </w:pPr>
    </w:p>
    <w:bookmarkStart w:id="33" w:name="page34"/>
    <w:bookmarkEnd w:id="33"/>
    <w:p>
      <w:pPr>
        <w:spacing w:after="0" w:line="288" w:lineRule="auto"/>
        <w:rPr>
          <w:sz w:val="20"/>
          <w:szCs w:val="20"/>
          <w:color w:val="auto"/>
        </w:rPr>
      </w:pPr>
      <w:r>
        <w:rPr>
          <w:rFonts w:ascii="Times New Roman" w:cs="Times New Roman" w:eastAsia="Times New Roman" w:hAnsi="Times New Roman"/>
          <w:sz w:val="21"/>
          <w:szCs w:val="21"/>
          <w:color w:val="auto"/>
        </w:rPr>
        <w:t>issuance and sale of any Shares under the Plan; and (b) any tax consequences expected, but not realized, by any Participant or other person due to the receipt, exercise or settlement of any Award granted under the Plan.</w:t>
      </w:r>
    </w:p>
    <w:p>
      <w:pPr>
        <w:spacing w:after="0" w:line="11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17.</w:t>
      </w:r>
      <w:r>
        <w:rPr>
          <w:rFonts w:ascii="Times New Roman" w:cs="Times New Roman" w:eastAsia="Times New Roman" w:hAnsi="Times New Roman"/>
          <w:sz w:val="21"/>
          <w:szCs w:val="21"/>
          <w:b w:val="1"/>
          <w:bCs w:val="1"/>
          <w:color w:val="auto"/>
        </w:rPr>
        <w:tab/>
        <w:t>TAXES.</w:t>
      </w:r>
    </w:p>
    <w:p>
      <w:pPr>
        <w:spacing w:after="0" w:line="186" w:lineRule="exact"/>
        <w:rPr>
          <w:sz w:val="20"/>
          <w:szCs w:val="20"/>
          <w:color w:val="auto"/>
        </w:rPr>
      </w:pPr>
    </w:p>
    <w:p>
      <w:pPr>
        <w:jc w:val="both"/>
        <w:ind w:firstLine="648"/>
        <w:spacing w:after="0" w:line="214" w:lineRule="auto"/>
        <w:tabs>
          <w:tab w:leader="none" w:pos="1279"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A Participant shall be required to pay to any member of the Company Group, and any member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Company Group shall have the right and is hereby authorized to withhold, from any cash, Shares, other securities or other property deliverable under any Award or from any compensation or other amounts owing to a Participant, the amount (in cash, Shares, other securities or other property) of any required withholding or any other applicable taxes in respect of an Award, its exercise, or any payment or transfer under an Award or under the Plan and to take such other action as may be necessary in the opinion of the Committee or the Company to satisfy all obligations for the payment of such withholding and taxes. Without limiting the generality of the foregoing, the Committee may, in its sole discretion, permit a Participant to satisfy, in whole or in part, the foregoing withholding liability by (A) the delivery of Mature Shares owned by the Participant having a Fair Market Value equal to such withholding liability or (B) having the Company withhold from the number of Shares otherwise issuable or deliverable pursuant to the exercise or settlement of the Award, a number of Shares with a Fair Market Value equal to such withholding liability; provided, that, with respect to Shares withheld pursuant to clause (B), the number of such Shares may not have a Fair Market Value greater than the maximum required statutory withholding liability. The Company shall not be required to issue any Shares or make any cash payment under the Plan until such obligations are satisfied.</w:t>
      </w:r>
    </w:p>
    <w:p>
      <w:pPr>
        <w:spacing w:after="0" w:line="7"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Each Award that provides for “nonqualified deferred compensation” within the meaning of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(6)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3"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 xml:space="preserve">Section 18.   </w:t>
      </w:r>
      <w:r>
        <w:rPr>
          <w:rFonts w:ascii="Times New Roman" w:cs="Times New Roman" w:eastAsia="Times New Roman" w:hAnsi="Times New Roman"/>
          <w:sz w:val="21"/>
          <w:szCs w:val="21"/>
          <w:b w:val="1"/>
          <w:bCs w:val="1"/>
          <w:color w:val="000000"/>
        </w:rPr>
        <w:t>NONTRANSFERABILITY; BENEFICIARIES.</w:t>
      </w:r>
    </w:p>
    <w:p>
      <w:pPr>
        <w:spacing w:after="0" w:line="158" w:lineRule="exact"/>
        <w:rPr>
          <w:sz w:val="20"/>
          <w:szCs w:val="20"/>
          <w:color w:val="auto"/>
        </w:rPr>
      </w:pPr>
    </w:p>
    <w:p>
      <w:pPr>
        <w:ind w:left="1280" w:hanging="632"/>
        <w:spacing w:after="0"/>
        <w:tabs>
          <w:tab w:leader="none" w:pos="1280"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Nontransferability of Awards</w:t>
      </w:r>
    </w:p>
    <w:p>
      <w:pPr>
        <w:spacing w:after="0" w:line="217" w:lineRule="exact"/>
        <w:rPr>
          <w:sz w:val="20"/>
          <w:szCs w:val="20"/>
          <w:color w:val="auto"/>
        </w:rPr>
      </w:pPr>
    </w:p>
    <w:p>
      <w:pPr>
        <w:jc w:val="both"/>
        <w:ind w:firstLine="7"/>
        <w:spacing w:after="0" w:line="262" w:lineRule="auto"/>
        <w:tabs>
          <w:tab w:leader="none" w:pos="1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Award shall be exercisable only by the Participant granted the Award during such Participant’s lifetime, or, if permissible under applicable law, by such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any member of the Company Group; provided, that, the designation of a beneficiary shall not constitute an assignment, alienation, pledge, attachment, sale, transfer or encumbrance.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08" w:right="339" w:bottom="1440" w:gutter="0" w:footer="0" w:header="0"/>
        </w:sectPr>
      </w:pPr>
    </w:p>
    <w:bookmarkStart w:id="34" w:name="page35"/>
    <w:bookmarkEnd w:id="34"/>
    <w:p>
      <w:pPr>
        <w:jc w:val="both"/>
        <w:ind w:left="1940" w:hanging="651"/>
        <w:spacing w:after="0" w:line="217" w:lineRule="auto"/>
        <w:tabs>
          <w:tab w:leader="none" w:pos="1928"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the Committee may, in its sole discretion, permit Awards (other than ISOs)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Times New Roman" w:cs="Times New Roman" w:eastAsia="Times New Roman" w:hAnsi="Times New Roman"/>
          <w:sz w:val="21"/>
          <w:szCs w:val="21"/>
          <w:b w:val="1"/>
          <w:bCs w:val="1"/>
          <w:color w:val="auto"/>
        </w:rPr>
        <w:t>Immediate Family Members</w:t>
      </w:r>
      <w:r>
        <w:rPr>
          <w:rFonts w:ascii="Times New Roman" w:cs="Times New Roman" w:eastAsia="Times New Roman" w:hAnsi="Times New Roman"/>
          <w:sz w:val="21"/>
          <w:szCs w:val="21"/>
          <w:color w:val="auto"/>
        </w:rPr>
        <w:t>”); (B) a trust solely for the benefit of the Participant and his or her Immediate Family Members; or (C) a partnership or limited liability company whose only partners or stockholders are the Participant and his or her Immediate Family Members; or (D) any other transferee as may be approved either (1) by the Committee in its sole discretion, or (2) as provided in the applicable Award Agreement (each transferee described in clauses (A), (B) (C) and (D) above is hereinafter referred to as a “</w:t>
      </w:r>
      <w:r>
        <w:rPr>
          <w:rFonts w:ascii="Times New Roman" w:cs="Times New Roman" w:eastAsia="Times New Roman" w:hAnsi="Times New Roman"/>
          <w:sz w:val="21"/>
          <w:szCs w:val="21"/>
          <w:b w:val="1"/>
          <w:bCs w:val="1"/>
          <w:color w:val="auto"/>
        </w:rPr>
        <w:t>Permitted Transferee</w:t>
      </w:r>
      <w:r>
        <w:rPr>
          <w:rFonts w:ascii="Times New Roman" w:cs="Times New Roman" w:eastAsia="Times New Roman" w:hAnsi="Times New Roman"/>
          <w:sz w:val="21"/>
          <w:szCs w:val="21"/>
          <w:color w:val="auto"/>
        </w:rPr>
        <w:t>”);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58" w:lineRule="exact"/>
        <w:rPr>
          <w:rFonts w:ascii="Times New Roman" w:cs="Times New Roman" w:eastAsia="Times New Roman" w:hAnsi="Times New Roman"/>
          <w:sz w:val="21"/>
          <w:szCs w:val="21"/>
          <w:color w:val="010000"/>
        </w:rPr>
      </w:pPr>
    </w:p>
    <w:p>
      <w:pPr>
        <w:jc w:val="both"/>
        <w:ind w:left="1940" w:hanging="651"/>
        <w:spacing w:after="0" w:line="217" w:lineRule="auto"/>
        <w:tabs>
          <w:tab w:leader="none" w:pos="1934"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any member of the Company Group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45" w:lineRule="exact"/>
        <w:rPr>
          <w:rFonts w:ascii="Times New Roman" w:cs="Times New Roman" w:eastAsia="Times New Roman" w:hAnsi="Times New Roman"/>
          <w:sz w:val="21"/>
          <w:szCs w:val="21"/>
          <w:color w:val="010000"/>
        </w:rPr>
      </w:pPr>
    </w:p>
    <w:p>
      <w:pPr>
        <w:jc w:val="both"/>
        <w:ind w:firstLine="648"/>
        <w:spacing w:after="0" w:line="222" w:lineRule="auto"/>
        <w:tabs>
          <w:tab w:leader="none" w:pos="1278" w:val="left"/>
        </w:tabs>
        <w:numPr>
          <w:ilvl w:val="0"/>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Designation and Change of Beneficiaries</w:t>
      </w:r>
      <w:r>
        <w:rPr>
          <w:rFonts w:ascii="Times New Roman" w:cs="Times New Roman" w:eastAsia="Times New Roman" w:hAnsi="Times New Roman"/>
          <w:sz w:val="21"/>
          <w:szCs w:val="21"/>
          <w:color w:val="auto"/>
        </w:rPr>
        <w:t>. Each Participant may file with the Committee a written designation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one or more persons as the beneficiary(ies) who shall be entitled to receive the amounts payable with respect to an Award, if any, due under the Plan upon his or her death. A Participant may, from time to time, revoke or change his or her beneficiary designation without the consent of any prior beneficiary by filing a new designation with the Committee. The last such designation received by the Committee shall be controlling; provided, however,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color w:val="auto"/>
        </w:rPr>
        <w:t>be deemed to be the Participant’s spouse or, if the Participant is unmarried at the time of death, their estate.</w:t>
      </w: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19.</w:t>
      </w:r>
      <w:r>
        <w:rPr>
          <w:rFonts w:ascii="Times New Roman" w:cs="Times New Roman" w:eastAsia="Times New Roman" w:hAnsi="Times New Roman"/>
          <w:sz w:val="21"/>
          <w:szCs w:val="21"/>
          <w:b w:val="1"/>
          <w:bCs w:val="1"/>
          <w:color w:val="auto"/>
        </w:rPr>
        <w:tab/>
        <w:t>PERFORMANCE BASED AWARDS.</w:t>
      </w:r>
    </w:p>
    <w:p>
      <w:pPr>
        <w:spacing w:after="0" w:line="189"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21"/>
          <w:szCs w:val="21"/>
          <w:color w:val="auto"/>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spacing w:after="0" w:line="1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20.</w:t>
      </w:r>
      <w:r>
        <w:rPr>
          <w:rFonts w:ascii="Times New Roman" w:cs="Times New Roman" w:eastAsia="Times New Roman" w:hAnsi="Times New Roman"/>
          <w:sz w:val="21"/>
          <w:szCs w:val="21"/>
          <w:b w:val="1"/>
          <w:bCs w:val="1"/>
          <w:color w:val="auto"/>
        </w:rPr>
        <w:tab/>
        <w:t>RECOUPMENT; DETRIMENTAL ACTIVITY.</w:t>
      </w:r>
    </w:p>
    <w:p>
      <w:pPr>
        <w:spacing w:after="0" w:line="186" w:lineRule="exact"/>
        <w:rPr>
          <w:sz w:val="20"/>
          <w:szCs w:val="20"/>
          <w:color w:val="auto"/>
        </w:rPr>
      </w:pPr>
    </w:p>
    <w:p>
      <w:pPr>
        <w:jc w:val="both"/>
        <w:ind w:firstLine="648"/>
        <w:spacing w:after="0" w:line="216" w:lineRule="auto"/>
        <w:tabs>
          <w:tab w:leader="none" w:pos="1279"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Recoupment</w:t>
      </w:r>
      <w:r>
        <w:rPr>
          <w:rFonts w:ascii="Times New Roman" w:cs="Times New Roman" w:eastAsia="Times New Roman" w:hAnsi="Times New Roman"/>
          <w:sz w:val="21"/>
          <w:szCs w:val="21"/>
          <w:color w:val="auto"/>
        </w:rPr>
        <w:t>. All Awards shall be subject to reduction, cancellation, forfeiture or recoupment to the extent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necessary to comply with (1) the Universal Electronics Inc. Compensation Recoupment Policy, effective November 2023 (as may be amended from time to time), and any other clawback, forfeiture or other similar policy adopted by the Board or the Committee and as in effect from time to time, and (2) applicable law, whether such policy or law becomes effective prior to or following the Effective Date or the Date of Grant of an Award. Furthermore,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 No recovery of compensation under any clawback policy or this Section 20 will constitute an event giving rise to a Participant’s right to resign for “good reason” or “constructive termination” (or similar term) under any agreement with the Company or any of its Subsidiaries or Affiliates.</w:t>
      </w:r>
    </w:p>
    <w:p>
      <w:pPr>
        <w:spacing w:after="0" w:line="159" w:lineRule="exact"/>
        <w:rPr>
          <w:rFonts w:ascii="Times New Roman" w:cs="Times New Roman" w:eastAsia="Times New Roman" w:hAnsi="Times New Roman"/>
          <w:sz w:val="21"/>
          <w:szCs w:val="21"/>
          <w:color w:val="010000"/>
        </w:rPr>
      </w:pPr>
    </w:p>
    <w:p>
      <w:pPr>
        <w:jc w:val="both"/>
        <w:ind w:firstLine="648"/>
        <w:spacing w:after="0" w:line="226" w:lineRule="auto"/>
        <w:tabs>
          <w:tab w:leader="none" w:pos="1278" w:val="left"/>
        </w:tabs>
        <w:numPr>
          <w:ilvl w:val="0"/>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Detrimental Activity</w:t>
      </w:r>
      <w:r>
        <w:rPr>
          <w:rFonts w:ascii="Times New Roman" w:cs="Times New Roman" w:eastAsia="Times New Roman" w:hAnsi="Times New Roman"/>
          <w:sz w:val="21"/>
          <w:szCs w:val="21"/>
          <w:color w:val="auto"/>
        </w:rPr>
        <w:t>. Notwithstanding anything to the contrary contained herein or in any Award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compliance with applicable law, if a Participant has engaged in any Detrimental Activity, as determined by the Committee, the Committee may, in its sole discretion, provide for (1) cancellation of any or all of such Participant’s outstanding Awards, and/or (2) forfeiture by the Participant of any gain realized on the vesting or exercise of Awards, and to repay any such gain to promptly to the Company.</w:t>
      </w:r>
    </w:p>
    <w:p>
      <w:pPr>
        <w:spacing w:after="0" w:line="14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21.</w:t>
      </w:r>
      <w:r>
        <w:rPr>
          <w:rFonts w:ascii="Times New Roman" w:cs="Times New Roman" w:eastAsia="Times New Roman" w:hAnsi="Times New Roman"/>
          <w:sz w:val="21"/>
          <w:szCs w:val="21"/>
          <w:b w:val="1"/>
          <w:bCs w:val="1"/>
          <w:color w:val="auto"/>
        </w:rPr>
        <w:tab/>
        <w:t>NO EMPLOYMENT RIGHTS; NO CLAIM TO AWARDS.</w:t>
      </w:r>
    </w:p>
    <w:p>
      <w:pPr>
        <w:spacing w:after="0" w:line="186" w:lineRule="exact"/>
        <w:rPr>
          <w:sz w:val="20"/>
          <w:szCs w:val="20"/>
          <w:color w:val="auto"/>
        </w:rPr>
      </w:pPr>
    </w:p>
    <w:p>
      <w:pPr>
        <w:jc w:val="both"/>
        <w:ind w:firstLine="648"/>
        <w:spacing w:after="0" w:line="217" w:lineRule="auto"/>
        <w:tabs>
          <w:tab w:leader="none" w:pos="1279"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 Employment Rights</w:t>
      </w:r>
      <w:r>
        <w:rPr>
          <w:rFonts w:ascii="Times New Roman" w:cs="Times New Roman" w:eastAsia="Times New Roman" w:hAnsi="Times New Roman"/>
          <w:sz w:val="21"/>
          <w:szCs w:val="21"/>
          <w:color w:val="auto"/>
        </w:rPr>
        <w:t>. Neither the Plan nor any action taken hereunder shall be construed as giving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any right to be retained by or to remain in Service with any member of the Company Group, nor shall it be construed as giving any Participant any rights to continued service on the Board. Any member of the Company Group may at any time dismiss a Participant from employment or discontinue any consulting relationship, free from any liability or any claim under the Plan, unless otherwise expressly provided in the Plan or any Award Agreement.</w:t>
      </w:r>
    </w:p>
    <w:p>
      <w:pPr>
        <w:spacing w:after="0" w:line="4" w:lineRule="exact"/>
        <w:rPr>
          <w:rFonts w:ascii="Times New Roman" w:cs="Times New Roman" w:eastAsia="Times New Roman" w:hAnsi="Times New Roman"/>
          <w:sz w:val="21"/>
          <w:szCs w:val="21"/>
          <w:color w:val="010000"/>
        </w:rPr>
      </w:pPr>
    </w:p>
    <w:p>
      <w:pPr>
        <w:jc w:val="both"/>
        <w:ind w:firstLine="648"/>
        <w:spacing w:after="0" w:line="225" w:lineRule="auto"/>
        <w:tabs>
          <w:tab w:leader="none" w:pos="1278"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 Claim to Awards</w:t>
      </w:r>
      <w:r>
        <w:rPr>
          <w:rFonts w:ascii="Times New Roman" w:cs="Times New Roman" w:eastAsia="Times New Roman" w:hAnsi="Times New Roman"/>
          <w:sz w:val="21"/>
          <w:szCs w:val="21"/>
          <w:color w:val="auto"/>
        </w:rPr>
        <w:t>. No Employee, Consultant, Non-Employee Director or any other person shall have any claim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right to be granted an Award under the Plan or, having been selected for the grant of an Award, to be selected for a grant of any other Award.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77" w:right="339" w:bottom="1440" w:gutter="0" w:footer="0" w:header="0"/>
        </w:sectPr>
      </w:pPr>
    </w:p>
    <w:bookmarkStart w:id="36" w:name="page37"/>
    <w:bookmarkEnd w:id="36"/>
    <w:p>
      <w:pPr>
        <w:jc w:val="both"/>
        <w:ind w:firstLine="648"/>
        <w:spacing w:after="0" w:line="219" w:lineRule="auto"/>
        <w:tabs>
          <w:tab w:leader="none" w:pos="1279" w:val="left"/>
        </w:tabs>
        <w:numPr>
          <w:ilvl w:val="0"/>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 Requirement of Uniformity</w:t>
      </w:r>
      <w:r>
        <w:rPr>
          <w:rFonts w:ascii="Times New Roman" w:cs="Times New Roman" w:eastAsia="Times New Roman" w:hAnsi="Times New Roman"/>
          <w:sz w:val="21"/>
          <w:szCs w:val="21"/>
          <w:color w:val="auto"/>
        </w:rPr>
        <w:t>. There is no obligation for uniformity of treatment of Participants or holders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 xml:space="preserve">Section 22.   </w:t>
      </w:r>
      <w:r>
        <w:rPr>
          <w:rFonts w:ascii="Times New Roman" w:cs="Times New Roman" w:eastAsia="Times New Roman" w:hAnsi="Times New Roman"/>
          <w:sz w:val="21"/>
          <w:szCs w:val="21"/>
          <w:b w:val="1"/>
          <w:bCs w:val="1"/>
          <w:color w:val="000000"/>
        </w:rPr>
        <w:t>DURATION AND AMENDMENTS.</w:t>
      </w:r>
    </w:p>
    <w:p>
      <w:pPr>
        <w:spacing w:after="0" w:line="158" w:lineRule="exact"/>
        <w:rPr>
          <w:sz w:val="20"/>
          <w:szCs w:val="20"/>
          <w:color w:val="auto"/>
        </w:rPr>
      </w:pPr>
    </w:p>
    <w:p>
      <w:pPr>
        <w:jc w:val="both"/>
        <w:ind w:firstLine="648"/>
        <w:spacing w:after="0" w:line="217" w:lineRule="auto"/>
        <w:tabs>
          <w:tab w:leader="none" w:pos="1279"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Term of the Plan</w:t>
      </w:r>
      <w:r>
        <w:rPr>
          <w:rFonts w:ascii="Times New Roman" w:cs="Times New Roman" w:eastAsia="Times New Roman" w:hAnsi="Times New Roman"/>
          <w:sz w:val="21"/>
          <w:szCs w:val="21"/>
          <w:color w:val="auto"/>
        </w:rPr>
        <w:t>. The Plan was initially adopted by the Board of Directors on April 24, 2018 and approved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stockholders of the Company on June 4, 2018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was most recently amended and restated by the Board of Directors on March 26, 2026 and approved by the stockholders of the Company on May 19, 2026 (the “</w:t>
      </w:r>
      <w:r>
        <w:rPr>
          <w:rFonts w:ascii="Times New Roman" w:cs="Times New Roman" w:eastAsia="Times New Roman" w:hAnsi="Times New Roman"/>
          <w:sz w:val="21"/>
          <w:szCs w:val="21"/>
          <w:b w:val="1"/>
          <w:bCs w:val="1"/>
          <w:color w:val="auto"/>
        </w:rPr>
        <w:t>Restatement 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The Plan shall terminate at the earliest of (a) termination of the Plan by the Board, or (b) ten (10) years following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Restatement Effective Date. No ISOs may be granted after the tenth anniversary of the Restatement Effective Date.</w:t>
      </w:r>
    </w:p>
    <w:p>
      <w:pPr>
        <w:spacing w:after="0" w:line="4"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Right to Amend the Plan</w:t>
      </w:r>
      <w:r>
        <w:rPr>
          <w:rFonts w:ascii="Times New Roman" w:cs="Times New Roman" w:eastAsia="Times New Roman" w:hAnsi="Times New Roman"/>
          <w:sz w:val="21"/>
          <w:szCs w:val="21"/>
          <w:color w:val="auto"/>
        </w:rPr>
        <w:t>. The Board may amend the Plan at any time and from time to time. Rights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under any Award granted before amendment of the Plan shall not be materially impaired by such amendment except with consent of the Participant; provided, however, that an amendment or modification that is required to comply with Section 409A, as determined in the sole discretion of the Committee, shall not be treated as materially impairing the rights or obligations of the Participant. An amendment of the Plan shall be subject to the approval of the Company’s stockholders only to the extent required by applicable laws, regulations or rules.</w:t>
      </w:r>
    </w:p>
    <w:p>
      <w:pPr>
        <w:spacing w:after="0" w:line="2" w:lineRule="exact"/>
        <w:rPr>
          <w:rFonts w:ascii="Times New Roman" w:cs="Times New Roman" w:eastAsia="Times New Roman" w:hAnsi="Times New Roman"/>
          <w:sz w:val="21"/>
          <w:szCs w:val="21"/>
          <w:color w:val="010000"/>
        </w:rPr>
      </w:pPr>
    </w:p>
    <w:p>
      <w:pPr>
        <w:ind w:firstLine="648"/>
        <w:spacing w:after="0" w:line="212" w:lineRule="auto"/>
        <w:tabs>
          <w:tab w:leader="none" w:pos="1279"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Effect of Termination of the Plan</w:t>
      </w:r>
      <w:r>
        <w:rPr>
          <w:rFonts w:ascii="Times New Roman" w:cs="Times New Roman" w:eastAsia="Times New Roman" w:hAnsi="Times New Roman"/>
          <w:sz w:val="21"/>
          <w:szCs w:val="21"/>
          <w:color w:val="auto"/>
        </w:rPr>
        <w:t>. No Awards shall be granted under the Plan after the termination thereof.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termination of the Plan shall not affect Awards previously granted under the Plan.</w:t>
      </w:r>
    </w:p>
    <w:p>
      <w:pPr>
        <w:jc w:val="both"/>
        <w:ind w:firstLine="648"/>
        <w:spacing w:after="0" w:line="212" w:lineRule="auto"/>
        <w:tabs>
          <w:tab w:leader="none" w:pos="1278"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Amendment of Award Agreements</w:t>
      </w:r>
      <w:r>
        <w:rPr>
          <w:rFonts w:ascii="Times New Roman" w:cs="Times New Roman" w:eastAsia="Times New Roman" w:hAnsi="Times New Roman"/>
          <w:sz w:val="21"/>
          <w:szCs w:val="21"/>
          <w:color w:val="auto"/>
        </w:rPr>
        <w:t>. The Committee may, to the extent consistent with the terms of any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provided, further, that without stockholder approval to the extent required by the rules of any applicable national securities exchange or inter-dealer quotation system on which the Shares are listed or quoted, except as otherwise permitted under Section 12, (i) no amendment or modification may reduce the Exercise Price of any Option or any SAR, (ii) the Committee may not cancel any outstanding Option or SAR when the Exercise Price is greater than the Fair Market Value of the Shares covered by such Options and replace it with a new Option or SAR, another Award or cash and (iii) the Committee may not take any other action that is considered a “repricing” for purposes of the stockholder approval rules of the applicable securities exchange or inter-dealer quotation system.</w:t>
      </w:r>
    </w:p>
    <w:p>
      <w:pPr>
        <w:spacing w:after="0" w:line="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010000"/>
        </w:rPr>
        <w:t xml:space="preserve">Section 23.   </w:t>
      </w:r>
      <w:r>
        <w:rPr>
          <w:rFonts w:ascii="Times New Roman" w:cs="Times New Roman" w:eastAsia="Times New Roman" w:hAnsi="Times New Roman"/>
          <w:sz w:val="21"/>
          <w:szCs w:val="21"/>
          <w:b w:val="1"/>
          <w:bCs w:val="1"/>
          <w:color w:val="000000"/>
        </w:rPr>
        <w:t>AWARDS TO PARTICIPANTS OUTSIDE THE UNITED STATES.</w:t>
      </w:r>
    </w:p>
    <w:p>
      <w:pPr>
        <w:spacing w:after="0" w:line="18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21"/>
          <w:szCs w:val="21"/>
          <w:color w:val="auto"/>
        </w:rPr>
        <w:t>Notwithstanding any provision of the Plan to the contrary, to comply with the laws in countries outside the United States in which the Company and its Subsidiaries and Affiliates operate or in which Participants work or reside, the Committee, in its sole discretion, will have the power and authority to: (a) determine which Participants outside the United States will be eligible to participate in the Plan; (b) modify the terms and conditions of any Award granted to Participants outside the United States; (c) establish sub-plans and modify exercise procedures and other terms and procedures and rules, to the extent such actions may be necessary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77"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21"/>
          <w:szCs w:val="21"/>
          <w:color w:val="auto"/>
        </w:rPr>
        <w:t>advisable, including adoption of rules, procedures or sub-plans applicable to particular Subsidiaries and Affiliates or Participants in particular locations; provided that no such sub-plans and/or modifications shall take precedence over Section 3 of the Plan or otherwise require stockholder approval; (d) take any action, before or after an Award is granted, that it deems advisable to obtain approval or to facilitate compliance with any necessary local governmental regulatory exemptions or approvals and (e) impose conditions on the exercise, vesting, or settlement of Awards in order to minimize the Company’s obligation with respect to tax equalization for Participants on assignments outside their home country. Without limiting the generality of the foregoing, the Committee is specifically authorized to adopt rules, procedures and sub-plans with provisions that limit or modify rights on eligibility to receive an Award under the Plan or on death, Disability, retirement or other termination of employment, available methods of exercise or settlement of an Award, payment of income tax, social insurance contributions and payroll taxes, the shifting of employer tax or social insurance contribution liability to a Participant, the withholding procedures and handling of any Stock certificates or other indicia of ownership.</w:t>
      </w:r>
    </w:p>
    <w:p>
      <w:pPr>
        <w:spacing w:after="0" w:line="14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010000"/>
        </w:rPr>
        <w:t>Section 24.</w:t>
      </w:r>
      <w:r>
        <w:rPr>
          <w:rFonts w:ascii="Times New Roman" w:cs="Times New Roman" w:eastAsia="Times New Roman" w:hAnsi="Times New Roman"/>
          <w:sz w:val="21"/>
          <w:szCs w:val="21"/>
          <w:b w:val="1"/>
          <w:bCs w:val="1"/>
          <w:color w:val="auto"/>
        </w:rPr>
        <w:tab/>
        <w:t>MISCELLANEOUS.</w:t>
      </w:r>
    </w:p>
    <w:p>
      <w:pPr>
        <w:spacing w:after="0" w:line="186" w:lineRule="exact"/>
        <w:rPr>
          <w:sz w:val="20"/>
          <w:szCs w:val="20"/>
          <w:color w:val="auto"/>
        </w:rPr>
      </w:pPr>
    </w:p>
    <w:p>
      <w:pPr>
        <w:jc w:val="both"/>
        <w:ind w:firstLine="648"/>
        <w:spacing w:after="0" w:line="219" w:lineRule="auto"/>
        <w:tabs>
          <w:tab w:leader="none" w:pos="1279"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No Shares shall be delivered pursuant to any Award until payment in full of the Exercise Price therefor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received by the Company and the Participant has paid to the Company (or such other member of the Company Group employing or engaging the Services of the Participant, as applicable) an amount equal to any federal, state, local and non-U.S. income and employment taxes required to be withheld..</w:t>
      </w:r>
    </w:p>
    <w:p>
      <w:pPr>
        <w:spacing w:after="0" w:line="1"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8"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The Plan and each Award Agreement and all disputes or controversies arising out of or relating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thereto shall be governed by, and construed in accordance with, the internal laws of the State of Delaware, without application of the conflicts of law principles thereof.</w:t>
      </w:r>
    </w:p>
    <w:p>
      <w:pPr>
        <w:spacing w:after="0" w:line="1" w:lineRule="exact"/>
        <w:rPr>
          <w:rFonts w:ascii="Times New Roman" w:cs="Times New Roman" w:eastAsia="Times New Roman" w:hAnsi="Times New Roman"/>
          <w:sz w:val="21"/>
          <w:szCs w:val="21"/>
          <w:color w:val="010000"/>
        </w:rPr>
      </w:pPr>
    </w:p>
    <w:p>
      <w:pPr>
        <w:ind w:firstLine="648"/>
        <w:spacing w:after="0" w:line="212" w:lineRule="auto"/>
        <w:tabs>
          <w:tab w:leader="none" w:pos="1279"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The terms of the Plan shall be binding upon and inure to the benefit of the Company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successor entity, including any successor entity contemplated by Section 12(c).</w:t>
      </w:r>
    </w:p>
    <w:p>
      <w:pPr>
        <w:jc w:val="both"/>
        <w:ind w:firstLine="648"/>
        <w:spacing w:after="0" w:line="212" w:lineRule="auto"/>
        <w:tabs>
          <w:tab w:leader="none" w:pos="1278"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Other Agreements</w:t>
      </w:r>
      <w:r>
        <w:rPr>
          <w:rFonts w:ascii="Times New Roman" w:cs="Times New Roman" w:eastAsia="Times New Roman" w:hAnsi="Times New Roman"/>
          <w:sz w:val="21"/>
          <w:szCs w:val="21"/>
          <w:color w:val="auto"/>
        </w:rPr>
        <w:t>. Notwithstanding the above, the Committee may require, as a condition to the grant of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receipt of Shares under an Award, that the Participant execute lock-up, stockholder or other agreements, as it may determine in its sole and absolute discretion.</w:t>
      </w:r>
    </w:p>
    <w:p>
      <w:pPr>
        <w:spacing w:after="0" w:line="1"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79"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Relationship to Other Benefits</w:t>
      </w:r>
      <w:r>
        <w:rPr>
          <w:rFonts w:ascii="Times New Roman" w:cs="Times New Roman" w:eastAsia="Times New Roman" w:hAnsi="Times New Roman"/>
          <w:sz w:val="21"/>
          <w:szCs w:val="21"/>
          <w:color w:val="auto"/>
        </w:rPr>
        <w:t>. No payment under the Plan shall be taken into account in determining any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any pension, retirement, profit sharing, group insurance or other benefit plan of the Company except as otherwise specifically provided in such other plan.</w:t>
      </w:r>
    </w:p>
    <w:p>
      <w:pPr>
        <w:spacing w:after="0" w:line="1" w:lineRule="exact"/>
        <w:rPr>
          <w:rFonts w:ascii="Times New Roman" w:cs="Times New Roman" w:eastAsia="Times New Roman" w:hAnsi="Times New Roman"/>
          <w:sz w:val="21"/>
          <w:szCs w:val="21"/>
          <w:color w:val="010000"/>
        </w:rPr>
      </w:pPr>
    </w:p>
    <w:p>
      <w:pPr>
        <w:jc w:val="both"/>
        <w:ind w:firstLine="648"/>
        <w:spacing w:after="0" w:line="212" w:lineRule="auto"/>
        <w:tabs>
          <w:tab w:leader="none" w:pos="1282"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Nonexclusivity of the Plan</w:t>
      </w:r>
      <w:r>
        <w:rPr>
          <w:rFonts w:ascii="Times New Roman" w:cs="Times New Roman" w:eastAsia="Times New Roman" w:hAnsi="Times New Roman"/>
          <w:sz w:val="21"/>
          <w:szCs w:val="21"/>
          <w:color w:val="auto"/>
        </w:rPr>
        <w:t>. Neither the adoption of this Plan by the Board nor the submission of this Plan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 w:lineRule="exact"/>
        <w:rPr>
          <w:rFonts w:ascii="Times New Roman" w:cs="Times New Roman" w:eastAsia="Times New Roman" w:hAnsi="Times New Roman"/>
          <w:sz w:val="21"/>
          <w:szCs w:val="21"/>
          <w:color w:val="010000"/>
        </w:rPr>
      </w:pPr>
    </w:p>
    <w:p>
      <w:pPr>
        <w:jc w:val="both"/>
        <w:ind w:firstLine="648"/>
        <w:spacing w:after="0" w:line="222" w:lineRule="auto"/>
        <w:tabs>
          <w:tab w:leader="none" w:pos="1278"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 Trust or Fund Created</w:t>
      </w:r>
      <w:r>
        <w:rPr>
          <w:rFonts w:ascii="Times New Roman" w:cs="Times New Roman" w:eastAsia="Times New Roman" w:hAnsi="Times New Roman"/>
          <w:sz w:val="21"/>
          <w:szCs w:val="21"/>
          <w:color w:val="auto"/>
        </w:rPr>
        <w:t>. Neither the Plan nor any Award shall create or be construed to create a trust or separate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fund of any kind or a fiduciary relationship between any member of the Company Group, on the one hand, and a Participant or other person or entity, on the other hand. No provision of the Plan or any Award shall require the Company, for the purpose of satisfying any obligations under the Plan, to purchase assets or place any assets in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08" w:right="339" w:bottom="1440" w:gutter="0" w:footer="0" w:header="0"/>
        </w:sectPr>
      </w:pPr>
    </w:p>
    <w:bookmarkStart w:id="38" w:name="page39"/>
    <w:bookmarkEnd w:id="38"/>
    <w:p>
      <w:pPr>
        <w:jc w:val="both"/>
        <w:spacing w:after="0" w:line="217" w:lineRule="auto"/>
        <w:rPr>
          <w:sz w:val="20"/>
          <w:szCs w:val="20"/>
          <w:color w:val="auto"/>
        </w:rPr>
      </w:pPr>
      <w:r>
        <w:rPr>
          <w:rFonts w:ascii="Times New Roman" w:cs="Times New Roman" w:eastAsia="Times New Roman" w:hAnsi="Times New Roman"/>
          <w:sz w:val="21"/>
          <w:szCs w:val="21"/>
          <w:color w:val="auto"/>
        </w:rPr>
        <w:t>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1" w:lineRule="exact"/>
        <w:rPr>
          <w:sz w:val="20"/>
          <w:szCs w:val="20"/>
          <w:color w:val="auto"/>
        </w:rPr>
      </w:pPr>
    </w:p>
    <w:p>
      <w:pPr>
        <w:ind w:firstLine="648"/>
        <w:spacing w:after="0" w:line="212" w:lineRule="auto"/>
        <w:tabs>
          <w:tab w:leader="none" w:pos="1278"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Fractional Shares</w:t>
      </w:r>
      <w:r>
        <w:rPr>
          <w:rFonts w:ascii="Times New Roman" w:cs="Times New Roman" w:eastAsia="Times New Roman" w:hAnsi="Times New Roman"/>
          <w:sz w:val="21"/>
          <w:szCs w:val="21"/>
          <w:color w:val="auto"/>
        </w:rPr>
        <w:t>. Unless otherwise provided in an Award Agreement, an Employment Agreement or otherwise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Committee, any fractional shares due on exercise or payment in respect of an Award shall be settled in cash.</w:t>
      </w:r>
    </w:p>
    <w:p>
      <w:pPr>
        <w:jc w:val="both"/>
        <w:ind w:firstLine="648"/>
        <w:spacing w:after="0" w:line="216" w:lineRule="auto"/>
        <w:tabs>
          <w:tab w:leader="none" w:pos="1270"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provision of the Plan or any Award or Award Agreement is or becomes or is deemed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 Notwithstanding anything in the Plan or any Award or Award Agreement to the contrary, nothing in the Plan or in any Award or Award Agreement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2018 Equity and Incentive Compensation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sectPr>
      <w:pgSz w:w="11900" w:h="16838" w:orient="portrait"/>
      <w:cols w:equalWidth="0" w:num="1">
        <w:col w:w="11240"/>
      </w:cols>
      <w:pgMar w:left="320" w:top="13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lowerLetter"/>
      <w:start w:val="1"/>
    </w:lvl>
  </w:abstractNum>
  <w:abstractNum w:abstractNumId="1">
    <w:nsid w:val="614FD4A1"/>
    <w:multiLevelType w:val="hybridMultilevel"/>
    <w:lvl w:ilvl="0">
      <w:lvlJc w:val="left"/>
      <w:lvlText w:val="(%1)"/>
      <w:numFmt w:val="lowerLetter"/>
      <w:start w:val="1"/>
    </w:lvl>
  </w:abstractNum>
  <w:abstractNum w:abstractNumId="2">
    <w:nsid w:val="419AC241"/>
    <w:multiLevelType w:val="hybridMultilevel"/>
    <w:lvl w:ilvl="0">
      <w:lvlJc w:val="left"/>
      <w:lvlText w:val="%1."/>
      <w:numFmt w:val="lowerLetter"/>
      <w:start w:val="1"/>
    </w:lvl>
  </w:abstractNum>
  <w:abstractNum w:abstractNumId="3">
    <w:nsid w:val="5577F8E1"/>
    <w:multiLevelType w:val="hybridMultilevel"/>
    <w:lvl w:ilvl="0">
      <w:lvlJc w:val="left"/>
      <w:lvlText w:val="%1."/>
      <w:numFmt w:val="lowerLetter"/>
      <w:start w:val="1"/>
    </w:lvl>
  </w:abstractNum>
  <w:abstractNum w:abstractNumId="4">
    <w:nsid w:val="440BADFC"/>
    <w:multiLevelType w:val="hybridMultilevel"/>
    <w:lvl w:ilvl="0">
      <w:lvlJc w:val="left"/>
      <w:lvlText w:val="%1"/>
      <w:numFmt w:val="decimal"/>
      <w:start w:val="107"/>
    </w:lvl>
  </w:abstractNum>
  <w:abstractNum w:abstractNumId="5">
    <w:nsid w:val="507236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3804823E"/>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7">
    <w:nsid w:val="77465F01"/>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8">
    <w:nsid w:val="7724C67E"/>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1"/>
    </w:lvl>
  </w:abstractNum>
  <w:abstractNum w:abstractNumId="9">
    <w:nsid w:val="5C482A97"/>
    <w:multiLevelType w:val="hybridMultilevel"/>
    <w:lvl w:ilvl="0">
      <w:lvlJc w:val="left"/>
      <w:lvlText w:val="(%1)"/>
      <w:numFmt w:val="lowerLetter"/>
      <w:start w:val="1"/>
    </w:lvl>
  </w:abstractNum>
  <w:abstractNum w:abstractNumId="10">
    <w:nsid w:val="2463B9EA"/>
    <w:multiLevelType w:val="hybridMultilevel"/>
    <w:lvl w:ilvl="0">
      <w:lvlJc w:val="left"/>
      <w:lvlText w:val="(%1)"/>
      <w:numFmt w:val="lowerLetter"/>
      <w:start w:val="1"/>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Letter"/>
      <w:start w:val="3"/>
    </w:lvl>
  </w:abstractNum>
  <w:abstractNum w:abstractNumId="13">
    <w:nsid w:val="2D517796"/>
    <w:multiLevelType w:val="hybridMultilevel"/>
    <w:lvl w:ilvl="0">
      <w:lvlJc w:val="left"/>
      <w:lvlText w:val="(%1)"/>
      <w:numFmt w:val="lowerLetter"/>
      <w:start w:val="3"/>
    </w:lvl>
  </w:abstractNum>
  <w:abstractNum w:abstractNumId="14">
    <w:nsid w:val="580BD78F"/>
    <w:multiLevelType w:val="hybridMultilevel"/>
    <w:lvl w:ilvl="0">
      <w:lvlJc w:val="left"/>
      <w:lvlText w:val="(%1)"/>
      <w:numFmt w:val="lowerLetter"/>
      <w:start w:val="6"/>
    </w:lvl>
  </w:abstractNum>
  <w:abstractNum w:abstractNumId="15">
    <w:nsid w:val="153EA438"/>
    <w:multiLevelType w:val="hybridMultilevel"/>
    <w:lvl w:ilvl="0">
      <w:lvlJc w:val="left"/>
      <w:lvlText w:val="(%1)"/>
      <w:numFmt w:val="lowerRoman"/>
      <w:start w:val="1"/>
    </w:lvl>
  </w:abstractNum>
  <w:abstractNum w:abstractNumId="16">
    <w:nsid w:val="3855585C"/>
    <w:multiLevelType w:val="hybridMultilevel"/>
    <w:lvl w:ilvl="0">
      <w:lvlJc w:val="left"/>
      <w:lvlText w:val="(%1)"/>
      <w:numFmt w:val="lowerLetter"/>
      <w:start w:val="3"/>
    </w:lvl>
  </w:abstractNum>
  <w:abstractNum w:abstractNumId="17">
    <w:nsid w:val="70A64E2A"/>
    <w:multiLevelType w:val="hybridMultilevel"/>
    <w:lvl w:ilvl="0">
      <w:lvlJc w:val="left"/>
      <w:lvlText w:val="(%1)"/>
      <w:numFmt w:val="lowerLetter"/>
      <w:start w:val="6"/>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Letter"/>
      <w:start w:val="1"/>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1)"/>
      <w:numFmt w:val="lowerLetter"/>
      <w:start w:val="4"/>
    </w:lvl>
  </w:abstractNum>
  <w:abstractNum w:abstractNumId="23">
    <w:nsid w:val="57E4CCAF"/>
    <w:multiLevelType w:val="hybridMultilevel"/>
    <w:lvl w:ilvl="0">
      <w:lvlJc w:val="left"/>
      <w:lvlText w:val="(%1)"/>
      <w:numFmt w:val="lowerLetter"/>
      <w:start w:val="8"/>
    </w:lvl>
  </w:abstractNum>
  <w:abstractNum w:abstractNumId="24">
    <w:nsid w:val="7A6D8D3C"/>
    <w:multiLevelType w:val="hybridMultilevel"/>
    <w:lvl w:ilvl="0">
      <w:lvlJc w:val="left"/>
      <w:lvlText w:val="(%1)"/>
      <w:numFmt w:val="lowerLetter"/>
      <w:start w:val="1"/>
    </w:lvl>
  </w:abstractNum>
  <w:abstractNum w:abstractNumId="25">
    <w:nsid w:val="4B588F54"/>
    <w:multiLevelType w:val="hybridMultilevel"/>
    <w:lvl w:ilvl="0">
      <w:lvlJc w:val="left"/>
      <w:lvlText w:val="(%1)"/>
      <w:numFmt w:val="lowerLetter"/>
      <w:start w:val="7"/>
    </w:lvl>
    <w:lvl w:ilvl="1">
      <w:lvlJc w:val="left"/>
      <w:lvlText w:val="(%2)"/>
      <w:numFmt w:val="lowerRoman"/>
      <w:start w:val="1"/>
    </w:lvl>
  </w:abstractNum>
  <w:abstractNum w:abstractNumId="26">
    <w:nsid w:val="542289EC"/>
    <w:multiLevelType w:val="hybridMultilevel"/>
    <w:lvl w:ilvl="0">
      <w:lvlJc w:val="left"/>
      <w:lvlText w:val="(%1)"/>
      <w:numFmt w:val="lowerRoman"/>
      <w:start w:val="4"/>
    </w:lvl>
  </w:abstractNum>
  <w:abstractNum w:abstractNumId="27">
    <w:nsid w:val="6DE91B18"/>
    <w:multiLevelType w:val="hybridMultilevel"/>
    <w:lvl w:ilvl="0">
      <w:lvlJc w:val="left"/>
      <w:lvlText w:val="(%1)"/>
      <w:numFmt w:val="lowerLetter"/>
      <w:start w:val="8"/>
    </w:lvl>
  </w:abstractNum>
  <w:abstractNum w:abstractNumId="28">
    <w:nsid w:val="38437FDB"/>
    <w:multiLevelType w:val="hybridMultilevel"/>
    <w:lvl w:ilvl="0">
      <w:lvlJc w:val="left"/>
      <w:lvlText w:val="(%1)"/>
      <w:numFmt w:val="lowerLetter"/>
      <w:start w:val="13"/>
    </w:lvl>
    <w:lvl w:ilvl="1">
      <w:lvlJc w:val="left"/>
      <w:lvlText w:val="(%2)"/>
      <w:numFmt w:val="lowerLetter"/>
      <w:start w:val="9"/>
    </w:lvl>
  </w:abstractNum>
  <w:abstractNum w:abstractNumId="29">
    <w:nsid w:val="7644A45C"/>
    <w:multiLevelType w:val="hybridMultilevel"/>
    <w:lvl w:ilvl="0">
      <w:lvlJc w:val="left"/>
      <w:lvlText w:val="(%1)"/>
      <w:numFmt w:val="lowerRoman"/>
      <w:start w:val="2"/>
    </w:lvl>
  </w:abstractNum>
  <w:abstractNum w:abstractNumId="30">
    <w:nsid w:val="32FFF902"/>
    <w:multiLevelType w:val="hybridMultilevel"/>
    <w:lvl w:ilvl="0">
      <w:lvlJc w:val="left"/>
      <w:lvlText w:val="(%1)"/>
      <w:numFmt w:val="lowerLetter"/>
      <w:start w:val="20"/>
    </w:lvl>
  </w:abstractNum>
  <w:abstractNum w:abstractNumId="31">
    <w:nsid w:val="684A481A"/>
    <w:multiLevelType w:val="hybridMultilevel"/>
    <w:lvl w:ilvl="0">
      <w:lvlJc w:val="left"/>
      <w:lvlText w:val="(%1)"/>
      <w:numFmt w:val="lowerLetter"/>
      <w:start w:val="27"/>
    </w:lvl>
  </w:abstractNum>
  <w:abstractNum w:abstractNumId="32">
    <w:nsid w:val="579478FE"/>
    <w:multiLevelType w:val="hybridMultilevel"/>
    <w:lvl w:ilvl="0">
      <w:lvlJc w:val="left"/>
      <w:lvlText w:val="(%1)"/>
      <w:numFmt w:val="lowerRoman"/>
      <w:start w:val="1"/>
    </w:lvl>
  </w:abstractNum>
  <w:abstractNum w:abstractNumId="33">
    <w:nsid w:val="749ABB43"/>
    <w:multiLevelType w:val="hybridMultilevel"/>
    <w:lvl w:ilvl="0">
      <w:lvlJc w:val="left"/>
      <w:lvlText w:val="(%1)"/>
      <w:numFmt w:val="lowerLetter"/>
      <w:start w:val="1"/>
    </w:lvl>
    <w:lvl w:ilvl="1">
      <w:lvlJc w:val="left"/>
      <w:lvlText w:val="(%2)"/>
      <w:numFmt w:val="lowerRoman"/>
      <w:start w:val="1"/>
    </w:lvl>
  </w:abstractNum>
  <w:abstractNum w:abstractNumId="34">
    <w:nsid w:val="3DC240FB"/>
    <w:multiLevelType w:val="hybridMultilevel"/>
    <w:lvl w:ilvl="0">
      <w:lvlJc w:val="left"/>
      <w:lvlText w:val="(%1)"/>
      <w:numFmt w:val="lowerRoman"/>
      <w:start w:val="3"/>
    </w:lvl>
  </w:abstractNum>
  <w:abstractNum w:abstractNumId="35">
    <w:nsid w:val="1BA026FA"/>
    <w:multiLevelType w:val="hybridMultilevel"/>
    <w:lvl w:ilvl="0">
      <w:lvlJc w:val="left"/>
      <w:lvlText w:val="(%1)"/>
      <w:numFmt w:val="lowerLetter"/>
      <w:start w:val="4"/>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lowerLetter"/>
      <w:start w:val="3"/>
    </w:lvl>
  </w:abstractNum>
  <w:abstractNum w:abstractNumId="39">
    <w:nsid w:val="70C6A529"/>
    <w:multiLevelType w:val="hybridMultilevel"/>
    <w:lvl w:ilvl="0">
      <w:lvlJc w:val="left"/>
      <w:lvlText w:val="%1"/>
      <w:numFmt w:val="lowerLetter"/>
      <w:start w:val="1"/>
    </w:lvl>
    <w:lvl w:ilvl="1">
      <w:lvlJc w:val="left"/>
      <w:lvlText w:val="(%2)"/>
      <w:numFmt w:val="lowerLetter"/>
      <w:start w:val="1"/>
    </w:lvl>
  </w:abstractNum>
  <w:abstractNum w:abstractNumId="40">
    <w:nsid w:val="520EEDD1"/>
    <w:multiLevelType w:val="hybridMultilevel"/>
    <w:lvl w:ilvl="0">
      <w:lvlJc w:val="left"/>
      <w:lvlText w:val="(%1)"/>
      <w:numFmt w:val="lowerLetter"/>
      <w:start w:val="35"/>
    </w:lvl>
    <w:lvl w:ilvl="1">
      <w:lvlJc w:val="left"/>
      <w:lvlText w:val="(%2)"/>
      <w:numFmt w:val="lowerLetter"/>
      <w:start w:val="3"/>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3"/>
    </w:lvl>
  </w:abstractNum>
  <w:abstractNum w:abstractNumId="44">
    <w:nsid w:val="649BB77C"/>
    <w:multiLevelType w:val="hybridMultilevel"/>
    <w:lvl w:ilvl="0">
      <w:lvlJc w:val="left"/>
      <w:lvlText w:val="%1"/>
      <w:numFmt w:val="lowerLetter"/>
      <w:start w:val="1"/>
    </w:lvl>
    <w:lvl w:ilvl="1">
      <w:lvlJc w:val="left"/>
      <w:lvlText w:val="(%2)"/>
      <w:numFmt w:val="lowerLetter"/>
      <w:start w:val="9"/>
    </w:lvl>
  </w:abstractNum>
  <w:abstractNum w:abstractNumId="45">
    <w:nsid w:val="275AC794"/>
    <w:multiLevelType w:val="hybridMultilevel"/>
    <w:lvl w:ilvl="0">
      <w:lvlJc w:val="left"/>
      <w:lvlText w:val="(%1)"/>
      <w:numFmt w:val="lowerLetter"/>
      <w:start w:val="35"/>
    </w:lvl>
    <w:lvl w:ilvl="1">
      <w:lvlJc w:val="left"/>
      <w:lvlText w:val="(%2)"/>
      <w:numFmt w:val="lowerLetter"/>
      <w:start w:val="1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1"/>
    </w:lvl>
    <w:lvl w:ilvl="1">
      <w:lvlJc w:val="left"/>
      <w:lvlText w:val="(%2)"/>
      <w:numFmt w:val="lowerRoman"/>
      <w:start w:val="1"/>
    </w:lvl>
  </w:abstractNum>
  <w:abstractNum w:abstractNumId="49">
    <w:nsid w:val="235BA861"/>
    <w:multiLevelType w:val="hybridMultilevel"/>
    <w:lvl w:ilvl="0">
      <w:lvlJc w:val="left"/>
      <w:lvlText w:val="(%1)"/>
      <w:numFmt w:val="decimal"/>
      <w:start w:val="3"/>
    </w:lvl>
  </w:abstractNum>
  <w:abstractNum w:abstractNumId="50">
    <w:nsid w:val="47398C89"/>
    <w:multiLevelType w:val="hybridMultilevel"/>
    <w:lvl w:ilvl="0">
      <w:lvlJc w:val="left"/>
      <w:lvlText w:val="(%1)"/>
      <w:numFmt w:val="lowerLetter"/>
      <w:start w:val="2"/>
    </w:lvl>
  </w:abstractNum>
  <w:abstractNum w:abstractNumId="51">
    <w:nsid w:val="354FE9F9"/>
    <w:multiLevelType w:val="hybridMultilevel"/>
    <w:lvl w:ilvl="0">
      <w:lvlJc w:val="left"/>
      <w:lvlText w:val="(%1)"/>
      <w:numFmt w:val="lowerRoman"/>
      <w:start w:val="1"/>
    </w:lvl>
  </w:abstractNum>
  <w:abstractNum w:abstractNumId="52">
    <w:nsid w:val="15B5AF5C"/>
    <w:multiLevelType w:val="hybridMultilevel"/>
    <w:lvl w:ilvl="0">
      <w:lvlJc w:val="left"/>
      <w:lvlText w:val="(%1)"/>
      <w:numFmt w:val="lowerLetter"/>
      <w:start w:val="4"/>
    </w:lvl>
  </w:abstractNum>
  <w:abstractNum w:abstractNumId="53">
    <w:nsid w:val="741226BB"/>
    <w:multiLevelType w:val="hybridMultilevel"/>
    <w:lvl w:ilvl="0">
      <w:lvlJc w:val="left"/>
      <w:lvlText w:val="(%1)"/>
      <w:numFmt w:val="lowerLetter"/>
      <w:start w:val="1"/>
    </w:lvl>
    <w:lvl w:ilvl="1">
      <w:lvlJc w:val="left"/>
      <w:lvlText w:val="(%2)"/>
      <w:numFmt w:val="lowerRoman"/>
      <w:start w:val="1"/>
    </w:lvl>
  </w:abstractNum>
  <w:abstractNum w:abstractNumId="54">
    <w:nsid w:val="D34B6A8"/>
    <w:multiLevelType w:val="hybridMultilevel"/>
    <w:lvl w:ilvl="0">
      <w:lvlJc w:val="left"/>
      <w:lvlText w:val="(%1)"/>
      <w:numFmt w:val="lowerLetter"/>
      <w:start w:val="2"/>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lowerLetter"/>
      <w:start w:val="1"/>
    </w:lvl>
    <w:lvl w:ilvl="1">
      <w:lvlJc w:val="left"/>
      <w:lvlText w:val="(%2)"/>
      <w:numFmt w:val="lowerRoman"/>
      <w:start w:val="1"/>
    </w:lvl>
  </w:abstractNum>
  <w:abstractNum w:abstractNumId="59">
    <w:nsid w:val="77AE35EB"/>
    <w:multiLevelType w:val="hybridMultilevel"/>
    <w:lvl w:ilvl="0">
      <w:lvlJc w:val="left"/>
      <w:lvlText w:val="(%1)"/>
      <w:numFmt w:val="lowerLetter"/>
      <w:start w:val="2"/>
    </w:lvl>
    <w:lvl w:ilvl="1">
      <w:lvlJc w:val="left"/>
      <w:lvlText w:val="%2"/>
      <w:numFmt w:val="lowerRoman"/>
      <w:start w:val="1"/>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3"/>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png"/><Relationship Id="rId15" Type="http://schemas.openxmlformats.org/officeDocument/2006/relationships/image" Target="media/image2.png"/><Relationship Id="rId8" Type="http://schemas.openxmlformats.org/officeDocument/2006/relationships/hyperlink" Target="https://www.sec.gov/ix?doc=/Archives/edgar/data/101984/000010198426000039/ueic-20251231.htm" TargetMode="External"/><Relationship Id="rId9" Type="http://schemas.openxmlformats.org/officeDocument/2006/relationships/hyperlink" Target="https://www.sec.gov/ix?doc=/Archives/edgar/data/0000101984/000010198426000058/ueic-20260331.htm" TargetMode="External"/><Relationship Id="rId10" Type="http://schemas.openxmlformats.org/officeDocument/2006/relationships/hyperlink" Target="https://www.sec.gov/ix?doc=/Archives/edgar/data/101984/000010198426000037/ueic-20260311.htm" TargetMode="External"/><Relationship Id="rId11" Type="http://schemas.openxmlformats.org/officeDocument/2006/relationships/hyperlink" Target="https://www.sec.gov/ix?doc=/Archives/edgar/data/0000101984/000162828026019425/ueic-20260313.htm" TargetMode="External"/><Relationship Id="rId12" Type="http://schemas.openxmlformats.org/officeDocument/2006/relationships/hyperlink" Target="https://www.sec.gov/ix?doc=/Archives/edgar/data/0000101984/000010198426000061/ueic-20260519.htm" TargetMode="External"/><Relationship Id="rId13" Type="http://schemas.openxmlformats.org/officeDocument/2006/relationships/hyperlink" Target="https://www.sec.gov/Archives/edgar/data/101984/000010198420000009/a10k20191231-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2026-05-26T16:50:04Z</dcterms:created>
  <dcterms:modified xsi:type="dcterms:W3CDTF">2026-05-26T16:50:04Z</dcterms:modified>
</cp:coreProperties>
</file>